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t>ORISTELLA</w:t>
      </w:r>
    </w:p>
    <w:p>
      <w:pPr>
        <w:pBdr>
          <w:bottom w:val="single" w:color="1F3A5F" w:sz="24" w:space="8"/>
        </w:pBdr>
        <w:spacing w:after="1300" w:before="0"/>
      </w:pPr>
      <w:r>
        <w:t>APPENDIX 4.1</w:t>
      </w:r>
    </w:p>
    <w:p>
      <w:pPr>
        <w:spacing w:after="120"/>
      </w:pPr>
      <w:r>
        <w:t>DATA CENTRE</w:t>
      </w:r>
    </w:p>
    <w:p>
      <w:pPr>
        <w:spacing w:after="360"/>
      </w:pPr>
      <w:r>
        <w:t>SPECIFICATION</w:t>
      </w:r>
    </w:p>
    <w:p>
      <w:pPr>
        <w:spacing w:after="1300"/>
      </w:pPr>
      <w:r>
        <w:t>Hardware, software and the allocation of functions between the local site and the remote cloud</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2400"/>
        <w:gridCol w:w="6000"/>
      </w:tblGrid>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PROJECT</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Oristella/Mandiana</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VERSION</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rPr>
                <w:rFonts w:ascii="Arial" w:cs="Arial" w:eastAsia="Arial" w:hAnsi="Arial"/>
                <w:color w:val="222222"/>
                <w:sz w:val="20"/>
                <w:szCs w:val="20"/>
              </w:rPr>
              <w:t xml:space="preserve">1.0</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STATUS</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Engineering estimate and planning budget</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CURRENCY</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US dollar (USD), 1 EUR = 1.1181 USD</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Channels</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site 10 Mbit/s, cloud at least 100 Mbit/s</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AI Options</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A: on-site engineering software; B: Micromine and Metashape in the cloud</w:t>
            </w:r>
          </w:p>
        </w:tc>
      </w:tr>
      <w:tr>
        <w:tc>
          <w:tcPr>
            <w:tcW w:type="dxa" w:w="2400"/>
            <w:tcBorders>
              <w:top w:val="none" w:color="FFFFFF" w:sz="0"/>
              <w:left w:val="none" w:color="FFFFFF" w:sz="0"/>
              <w:bottom w:val="single" w:color="BFC8D6" w:sz="4"/>
              <w:right w:val="none" w:color="FFFFFF" w:sz="0"/>
            </w:tcBorders>
            <w:tcMar>
              <w:top w:type="dxa" w:w="90"/>
              <w:left w:type="dxa" w:w="0"/>
              <w:bottom w:type="dxa" w:w="90"/>
              <w:right w:type="dxa" w:w="90"/>
            </w:tcMar>
          </w:tcPr>
          <w:p>
            <w:r>
              <w:t>Date</w:t>
            </w:r>
          </w:p>
        </w:tc>
        <w:tc>
          <w:tcPr>
            <w:tcW w:type="dxa" w:w="6000"/>
            <w:tcBorders>
              <w:top w:val="none" w:color="FFFFFF" w:sz="0"/>
              <w:left w:val="none" w:color="FFFFFF" w:sz="0"/>
              <w:bottom w:val="single" w:color="BFC8D6" w:sz="4"/>
              <w:right w:val="none" w:color="FFFFFF" w:sz="0"/>
            </w:tcBorders>
            <w:tcMar>
              <w:top w:type="dxa" w:w="90"/>
              <w:left w:type="dxa" w:w="90"/>
              <w:bottom w:type="dxa" w:w="90"/>
              <w:right w:type="dxa" w:w="0"/>
            </w:tcMar>
          </w:tcPr>
          <w:p>
            <w:r>
              <w:t>October 2026</w:t>
            </w:r>
          </w:p>
        </w:tc>
      </w:tr>
    </w:tbl>
    <w:p>
      <w:pPr>
        <w:spacing w:before="1100"/>
      </w:pPr>
      <w:r>
        <w:t>This specification combines Hardware and Software v0.8 and Transfer of Functions to the Company Cloud v1.0, replacing both documents.</w:t>
      </w:r>
    </w:p>
    <w:p>
      <w:pPr>
        <w:sectPr>
          <w:headerReference w:type="default" r:id="rId12"/>
          <w:footerReference w:type="default" r:id="rId13"/>
          <w:pgSz w:w="11906" w:h="16838" w:orient="portrait"/>
          <w:pgMar w:top="1300" w:right="1134" w:bottom="1200" w:left="1134" w:header="600" w:footer="500" w:gutter="0"/>
          <w:pgNumType/>
          <w:docGrid w:linePitch="360"/>
        </w:sectPr>
      </w:pPr>
    </w:p>
    <w:p>
      <w:pPr>
        <w:spacing w:after="240"/>
      </w:pPr>
      <w:r>
        <w:t>Contents</w:t>
      </w:r>
    </w:p>
    <w:p>
      <w:pPr>
        <w:tabs>
          <w:tab w:val="right" w:pos="9638" w:leader="dot"/>
        </w:tabs>
        <w:spacing w:after="20" w:before="90" w:line="228"/>
        <w:ind w:left="0"/>
      </w:pPr>
      <w:r>
        <w:t>General provisions</w:t>
      </w:r>
    </w:p>
    <w:p>
      <w:pPr>
        <w:tabs>
          <w:tab w:val="right" w:pos="9638" w:leader="dot"/>
        </w:tabs>
        <w:spacing w:after="8" w:before="0" w:line="228"/>
        <w:ind w:left="360"/>
      </w:pPr>
      <w:r>
        <w:t>1 Purpose and scope</w:t>
      </w:r>
    </w:p>
    <w:p>
      <w:pPr>
        <w:tabs>
          <w:tab w:val="right" w:pos="9638" w:leader="dot"/>
        </w:tabs>
        <w:spacing w:after="8" w:before="0" w:line="228"/>
        <w:ind w:left="360"/>
      </w:pPr>
      <w:r>
        <w:t>2 Initial conditions and assumptions</w:t>
      </w:r>
    </w:p>
    <w:p>
      <w:pPr>
        <w:tabs>
          <w:tab w:val="right" w:pos="9638" w:leader="dot"/>
        </w:tabs>
        <w:spacing w:after="8" w:before="0" w:line="228"/>
        <w:ind w:left="360"/>
      </w:pPr>
      <w:r>
        <w:t>3 Adopted architectural decisions</w:t>
      </w:r>
    </w:p>
    <w:p>
      <w:pPr>
        <w:tabs>
          <w:tab w:val="right" w:pos="9638" w:leader="dot"/>
        </w:tabs>
        <w:spacing w:after="20" w:before="90" w:line="228"/>
        <w:ind w:left="0"/>
      </w:pPr>
      <w:r>
        <w:t>Section I Hardware</w:t>
      </w:r>
    </w:p>
    <w:p>
      <w:pPr>
        <w:tabs>
          <w:tab w:val="right" w:pos="9638" w:leader="dot"/>
        </w:tabs>
        <w:spacing w:after="8" w:before="0" w:line="228"/>
        <w:ind w:left="360"/>
      </w:pPr>
      <w:r>
        <w:t>4 PROTO-01 main compute workstation</w:t>
      </w:r>
    </w:p>
    <w:p>
      <w:pPr>
        <w:tabs>
          <w:tab w:val="right" w:pos="9638" w:leader="dot"/>
        </w:tabs>
        <w:spacing w:after="8" w:before="0" w:line="228"/>
        <w:ind w:left="360"/>
      </w:pPr>
      <w:r>
        <w:t>5 Workstation and client devices</w:t>
      </w:r>
    </w:p>
    <w:p>
      <w:pPr>
        <w:tabs>
          <w:tab w:val="right" w:pos="9638" w:leader="dot"/>
        </w:tabs>
        <w:spacing w:after="8" w:before="0" w:line="228"/>
        <w:ind w:left="360"/>
      </w:pPr>
      <w:r>
        <w:t>6 Data storage</w:t>
      </w:r>
    </w:p>
    <w:p>
      <w:pPr>
        <w:tabs>
          <w:tab w:val="right" w:pos="9638" w:leader="dot"/>
        </w:tabs>
        <w:spacing w:after="8" w:before="0" w:line="228"/>
        <w:ind w:left="360"/>
      </w:pPr>
      <w:r>
        <w:t>7 Network equipment and spare parts</w:t>
      </w:r>
    </w:p>
    <w:p>
      <w:pPr>
        <w:tabs>
          <w:tab w:val="right" w:pos="9638" w:leader="dot"/>
        </w:tabs>
        <w:spacing w:after="8" w:before="0" w:line="228"/>
        <w:ind w:left="360"/>
      </w:pPr>
      <w:r>
        <w:t>8 Camera system prototype</w:t>
      </w:r>
    </w:p>
    <w:p>
      <w:pPr>
        <w:tabs>
          <w:tab w:val="right" w:pos="9638" w:leader="dot"/>
        </w:tabs>
        <w:spacing w:after="8" w:before="0" w:line="228"/>
        <w:ind w:left="360"/>
      </w:pPr>
      <w:r>
        <w:t>9 GPS trackers for freight vehicles</w:t>
      </w:r>
    </w:p>
    <w:p>
      <w:pPr>
        <w:tabs>
          <w:tab w:val="right" w:pos="9638" w:leader="dot"/>
        </w:tabs>
        <w:spacing w:after="8" w:before="0" w:line="228"/>
        <w:ind w:left="360"/>
      </w:pPr>
      <w:r>
        <w:t>10 Variable frequency drive small test rig</w:t>
      </w:r>
    </w:p>
    <w:p>
      <w:pPr>
        <w:tabs>
          <w:tab w:val="right" w:pos="9638" w:leader="dot"/>
        </w:tabs>
        <w:spacing w:after="8" w:before="0" w:line="228"/>
        <w:ind w:left="360"/>
      </w:pPr>
      <w:r>
        <w:t>11 Power supply and infrastructure</w:t>
      </w:r>
    </w:p>
    <w:p>
      <w:pPr>
        <w:tabs>
          <w:tab w:val="right" w:pos="9638" w:leader="dot"/>
        </w:tabs>
        <w:spacing w:after="8" w:before="0" w:line="228"/>
        <w:ind w:left="360"/>
      </w:pPr>
      <w:r>
        <w:t>12 Rack cabling and installation</w:t>
      </w:r>
    </w:p>
    <w:p>
      <w:pPr>
        <w:tabs>
          <w:tab w:val="right" w:pos="9638" w:leader="dot"/>
        </w:tabs>
        <w:spacing w:after="8" w:before="0" w:line="228"/>
        <w:ind w:left="360"/>
      </w:pPr>
      <w:r>
        <w:t>13 Other spare parts tools and scanner</w:t>
      </w:r>
    </w:p>
    <w:p>
      <w:pPr>
        <w:tabs>
          <w:tab w:val="right" w:pos="9638" w:leader="dot"/>
        </w:tabs>
        <w:spacing w:after="8" w:before="0" w:line="228"/>
        <w:ind w:left="360"/>
      </w:pPr>
      <w:r>
        <w:t>14 Hardware summary for stages 0 and 1</w:t>
      </w:r>
    </w:p>
    <w:p>
      <w:pPr>
        <w:tabs>
          <w:tab w:val="right" w:pos="9638" w:leader="dot"/>
        </w:tabs>
        <w:spacing w:after="8" w:before="0" w:line="228"/>
        <w:ind w:left="360"/>
      </w:pPr>
      <w:r>
        <w:t>15 Cloud site equipment</w:t>
      </w:r>
    </w:p>
    <w:p>
      <w:pPr>
        <w:tabs>
          <w:tab w:val="right" w:pos="9638" w:leader="dot"/>
        </w:tabs>
        <w:spacing w:after="20" w:before="90" w:line="228"/>
        <w:ind w:left="0"/>
      </w:pPr>
      <w:r>
        <w:t>Section II Software</w:t>
      </w:r>
    </w:p>
    <w:p>
      <w:pPr>
        <w:tabs>
          <w:tab w:val="right" w:pos="9638" w:leader="dot"/>
        </w:tabs>
        <w:spacing w:after="8" w:before="0" w:line="228"/>
        <w:ind w:left="360"/>
      </w:pPr>
      <w:r>
        <w:t>16 Operating systems and infrastructure</w:t>
      </w:r>
    </w:p>
    <w:p>
      <w:pPr>
        <w:tabs>
          <w:tab w:val="right" w:pos="9638" w:leader="dot"/>
        </w:tabs>
        <w:spacing w:after="8" w:before="0" w:line="228"/>
        <w:ind w:left="360"/>
      </w:pPr>
      <w:r>
        <w:t>17 AI data and agents</w:t>
      </w:r>
    </w:p>
    <w:p>
      <w:pPr>
        <w:tabs>
          <w:tab w:val="right" w:pos="9638" w:leader="dot"/>
        </w:tabs>
        <w:spacing w:after="8" w:before="0" w:line="228"/>
        <w:ind w:left="360"/>
      </w:pPr>
      <w:r>
        <w:t>18 Data layer</w:t>
      </w:r>
    </w:p>
    <w:p>
      <w:pPr>
        <w:tabs>
          <w:tab w:val="right" w:pos="9638" w:leader="dot"/>
        </w:tabs>
        <w:spacing w:after="8" w:before="0" w:line="228"/>
        <w:ind w:left="360"/>
      </w:pPr>
      <w:r>
        <w:t>19 Business systems</w:t>
      </w:r>
    </w:p>
    <w:p>
      <w:pPr>
        <w:tabs>
          <w:tab w:val="right" w:pos="9638" w:leader="dot"/>
        </w:tabs>
        <w:spacing w:after="8" w:before="0" w:line="228"/>
        <w:ind w:left="360"/>
      </w:pPr>
      <w:r>
        <w:t>20 Engineering software</w:t>
      </w:r>
    </w:p>
    <w:p>
      <w:pPr>
        <w:tabs>
          <w:tab w:val="right" w:pos="9638" w:leader="dot"/>
        </w:tabs>
        <w:spacing w:after="8" w:before="0" w:line="228"/>
        <w:ind w:left="360"/>
      </w:pPr>
      <w:r>
        <w:t>21 Monitoring</w:t>
      </w:r>
    </w:p>
    <w:p>
      <w:pPr>
        <w:tabs>
          <w:tab w:val="right" w:pos="9638" w:leader="dot"/>
        </w:tabs>
        <w:spacing w:after="8" w:before="0" w:line="228"/>
        <w:ind w:left="360"/>
      </w:pPr>
      <w:r>
        <w:t>22 DevOps security and backup</w:t>
      </w:r>
    </w:p>
    <w:p>
      <w:pPr>
        <w:tabs>
          <w:tab w:val="right" w:pos="9638" w:leader="dot"/>
        </w:tabs>
        <w:spacing w:after="8" w:before="0" w:line="228"/>
        <w:ind w:left="360"/>
      </w:pPr>
      <w:r>
        <w:t>23 Software summary</w:t>
      </w:r>
    </w:p>
    <w:p>
      <w:pPr>
        <w:tabs>
          <w:tab w:val="right" w:pos="9638" w:leader="dot"/>
        </w:tabs>
        <w:spacing w:after="8" w:before="0" w:line="228"/>
        <w:ind w:left="360"/>
      </w:pPr>
      <w:r>
        <w:t>24 Cloud site software</w:t>
      </w:r>
    </w:p>
    <w:p>
      <w:pPr>
        <w:tabs>
          <w:tab w:val="right" w:pos="9638" w:leader="dot"/>
        </w:tabs>
        <w:spacing w:after="20" w:before="90" w:line="228"/>
        <w:ind w:left="0"/>
      </w:pPr>
      <w:r>
        <w:t>Section III Allocation of functions between the local site and remote cloud</w:t>
      </w:r>
    </w:p>
    <w:p>
      <w:pPr>
        <w:tabs>
          <w:tab w:val="right" w:pos="9638" w:leader="dot"/>
        </w:tabs>
        <w:spacing w:after="8" w:before="0" w:line="228"/>
        <w:ind w:left="360"/>
      </w:pPr>
      <w:r>
        <w:t>25 Allocation principle</w:t>
      </w:r>
    </w:p>
    <w:p>
      <w:pPr>
        <w:tabs>
          <w:tab w:val="right" w:pos="9638" w:leader="dot"/>
        </w:tabs>
        <w:spacing w:after="8" w:before="0" w:line="228"/>
        <w:ind w:left="360"/>
      </w:pPr>
      <w:r>
        <w:t>26 Links and throughput</w:t>
      </w:r>
    </w:p>
    <w:p>
      <w:pPr>
        <w:tabs>
          <w:tab w:val="right" w:pos="9638" w:leader="dot"/>
        </w:tabs>
        <w:spacing w:after="8" w:before="0" w:line="228"/>
        <w:ind w:left="360"/>
      </w:pPr>
      <w:r>
        <w:t>27 Overall allocation of functions</w:t>
      </w:r>
    </w:p>
    <w:p>
      <w:pPr>
        <w:tabs>
          <w:tab w:val="right" w:pos="9638" w:leader="dot"/>
        </w:tabs>
        <w:spacing w:after="8" w:before="0" w:line="228"/>
        <w:ind w:left="360"/>
      </w:pPr>
      <w:r>
        <w:t>28 Two options for local AI and engineering software</w:t>
      </w:r>
    </w:p>
    <w:p>
      <w:pPr>
        <w:tabs>
          <w:tab w:val="right" w:pos="9638" w:leader="dot"/>
        </w:tabs>
        <w:spacing w:after="8" w:before="0" w:line="228"/>
        <w:ind w:left="360"/>
      </w:pPr>
      <w:r>
        <w:t>29 Model allocation</w:t>
      </w:r>
    </w:p>
    <w:p>
      <w:pPr>
        <w:tabs>
          <w:tab w:val="right" w:pos="9638" w:leader="dot"/>
        </w:tabs>
        <w:spacing w:after="8" w:before="0" w:line="228"/>
        <w:ind w:left="360"/>
      </w:pPr>
      <w:r>
        <w:t>30 Hybrid operating patterns</w:t>
      </w:r>
    </w:p>
    <w:p>
      <w:pPr>
        <w:tabs>
          <w:tab w:val="right" w:pos="9638" w:leader="dot"/>
        </w:tabs>
        <w:spacing w:after="8" w:before="0" w:line="228"/>
        <w:ind w:left="360"/>
      </w:pPr>
      <w:r>
        <w:t>31 Backup and failover</w:t>
      </w:r>
    </w:p>
    <w:p>
      <w:pPr>
        <w:tabs>
          <w:tab w:val="right" w:pos="9638" w:leader="dot"/>
        </w:tabs>
        <w:spacing w:after="8" w:before="0" w:line="228"/>
        <w:ind w:left="360"/>
      </w:pPr>
      <w:r>
        <w:t>32 Allocation of the site link</w:t>
      </w:r>
    </w:p>
    <w:p>
      <w:pPr>
        <w:tabs>
          <w:tab w:val="right" w:pos="9638" w:leader="dot"/>
        </w:tabs>
        <w:spacing w:after="8" w:before="0" w:line="228"/>
        <w:ind w:left="360"/>
      </w:pPr>
      <w:r>
        <w:t>33 Data and security</w:t>
      </w:r>
    </w:p>
    <w:p>
      <w:pPr>
        <w:tabs>
          <w:tab w:val="right" w:pos="9638" w:leader="dot"/>
        </w:tabs>
        <w:spacing w:after="20" w:before="90" w:line="228"/>
        <w:ind w:left="0"/>
      </w:pPr>
      <w:r>
        <w:t>Section IV Summary budget</w:t>
      </w:r>
    </w:p>
    <w:p>
      <w:pPr>
        <w:tabs>
          <w:tab w:val="right" w:pos="9638" w:leader="dot"/>
        </w:tabs>
        <w:spacing w:after="8" w:before="0" w:line="228"/>
        <w:ind w:left="360"/>
      </w:pPr>
      <w:r>
        <w:t>34 CAPEX for stages 0 and 1</w:t>
      </w:r>
    </w:p>
    <w:p>
      <w:pPr>
        <w:tabs>
          <w:tab w:val="right" w:pos="9638" w:leader="dot"/>
        </w:tabs>
        <w:spacing w:after="8" w:before="0" w:line="228"/>
        <w:ind w:left="360"/>
      </w:pPr>
      <w:r>
        <w:t>35 OPEX for year 1</w:t>
      </w:r>
    </w:p>
    <w:p>
      <w:pPr>
        <w:tabs>
          <w:tab w:val="right" w:pos="9638" w:leader="dot"/>
        </w:tabs>
        <w:spacing w:after="8" w:before="0" w:line="228"/>
        <w:ind w:left="360"/>
      </w:pPr>
      <w:r>
        <w:t>36 Deferred costs for stage 2</w:t>
      </w:r>
    </w:p>
    <w:p>
      <w:pPr>
        <w:tabs>
          <w:tab w:val="right" w:pos="9638" w:leader="dot"/>
        </w:tabs>
        <w:spacing w:after="8" w:before="0" w:line="228"/>
        <w:ind w:left="360"/>
      </w:pPr>
      <w:r>
        <w:t>37 Items excluded from the budget</w:t>
      </w:r>
    </w:p>
    <w:p>
      <w:pPr>
        <w:tabs>
          <w:tab w:val="right" w:pos="9638" w:leader="dot"/>
        </w:tabs>
        <w:spacing w:after="20" w:before="90" w:line="228"/>
        <w:ind w:left="0"/>
      </w:pPr>
      <w:r>
        <w:t>Section V Decisions and risks</w:t>
      </w:r>
    </w:p>
    <w:p>
      <w:pPr>
        <w:tabs>
          <w:tab w:val="right" w:pos="9638" w:leader="dot"/>
        </w:tabs>
        <w:spacing w:after="8" w:before="0" w:line="228"/>
        <w:ind w:left="360"/>
      </w:pPr>
      <w:r>
        <w:t>38 Decisions on open items</w:t>
      </w:r>
    </w:p>
    <w:p>
      <w:pPr>
        <w:tabs>
          <w:tab w:val="right" w:pos="9638" w:leader="dot"/>
        </w:tabs>
        <w:spacing w:after="8" w:before="0" w:line="228"/>
        <w:ind w:left="360"/>
      </w:pPr>
      <w:r>
        <w:t>39 Risks and pre-purchase checks</w:t>
      </w:r>
    </w:p>
    <w:p>
      <w:pPr>
        <w:tabs>
          <w:tab w:val="right" w:pos="9638" w:leader="dot"/>
        </w:tabs>
        <w:spacing w:after="8" w:before="0" w:line="228"/>
        <w:ind w:left="360"/>
      </w:pPr>
      <w:r>
        <w:t>40 Outstanding clarifications and next steps</w:t>
      </w:r>
    </w:p>
    <w:p>
      <w:pPr>
        <w:tabs>
          <w:tab w:val="right" w:pos="9638" w:leader="dot"/>
        </w:tabs>
        <w:spacing w:after="20" w:before="90" w:line="228"/>
        <w:ind w:left="0"/>
      </w:pPr>
      <w:r>
        <w:t>Annex A Price sources</w:t>
      </w:r>
    </w:p>
    <w:p>
      <w:pPr>
        <w:tabs>
          <w:tab w:val="right" w:pos="9638" w:leader="dot"/>
        </w:tabs>
        <w:spacing w:after="20" w:before="90" w:line="228"/>
        <w:ind w:left="0"/>
      </w:pPr>
      <w:r>
        <w:t>Annex B Transfer time calculation method</w:t>
      </w:r>
    </w:p>
    <w:p>
      <w:pPr>
        <w:spacing w:before="200"/>
      </w:pPr>
      <w:r/>
    </w:p>
    <w:p>
      <w:pPr>
        <w:sectPr>
          <w:headerReference w:type="default" r:id="rId7"/>
          <w:footerReference w:type="default" r:id="rId8"/>
          <w:pgSz w:w="11906" w:h="16838" w:orient="portrait"/>
          <w:pgMar w:top="1300" w:right="1134" w:bottom="1200" w:left="1134" w:header="600" w:footer="500" w:gutter="0"/>
          <w:pgNumType/>
          <w:docGrid w:linePitch="360"/>
        </w:sectPr>
      </w:pPr>
    </w:p>
    <w:p>
      <w:pPr>
        <w:pStyle w:val="Heading1"/>
      </w:pPr>
      <w:r>
        <w:t>General provisions</w:t>
      </w:r>
    </w:p>
    <w:p>
      <w:pPr>
        <w:pStyle w:val="Heading2"/>
        <w:keepNext/>
      </w:pPr>
      <w:r>
        <w:t>1 Purpose and scope</w:t>
      </w:r>
    </w:p>
    <w:p>
      <w:pPr>
        <w:keepNext w:val="false"/>
        <w:spacing w:after="120" w:before="0" w:line="276"/>
        <w:jc w:val="left"/>
      </w:pPr>
      <w:r>
        <w:t>This specification combines and replaces Hardware and Software v0.8 and Transfer of Functions to the Company Cloud v1.0. It covers the complete data centre structure: the local site, the remote cloud site, hardware, software and the division of functions between them. Section III compares two ways to use local AI: Option A runs Micromine and Metashape at the local site; Option B places those applications in the cloud, subject to licence and network checks.</w:t>
      </w:r>
    </w:p>
    <w:p>
      <w:pPr>
        <w:keepNext/>
        <w:spacing w:after="60" w:before="0" w:line="276"/>
        <w:jc w:val="left"/>
      </w:pPr>
      <w:r>
        <w:t>Changes from versions 0.8 and 1.0:</w:t>
      </w:r>
    </w:p>
    <w:p>
      <w:pPr>
        <w:pStyle w:val="ListParagraph"/>
        <w:numPr>
          <w:ilvl w:val="0"/>
          <w:numId w:val="2"/>
        </w:numPr>
        <w:spacing w:after="60" w:line="276"/>
      </w:pPr>
      <w:r>
        <w:t>Two documents are combined into one, the sections are renumbered.</w:t>
      </w:r>
    </w:p>
    <w:p>
      <w:pPr>
        <w:pStyle w:val="ListParagraph"/>
        <w:numPr>
          <w:ilvl w:val="0"/>
          <w:numId w:val="2"/>
        </w:numPr>
        <w:spacing w:after="60" w:line="276"/>
      </w:pPr>
      <w:r>
        <w:t>The design now includes a cloud internet connection of at least 100 Mbit/s. Site-to-cloud transfer remains limited by the site's 10 Mbit/s link.</w:t>
      </w:r>
    </w:p>
    <w:p>
      <w:pPr>
        <w:pStyle w:val="ListParagraph"/>
        <w:numPr>
          <w:ilvl w:val="0"/>
          <w:numId w:val="2"/>
        </w:numPr>
        <w:spacing w:after="60" w:line="276"/>
      </w:pPr>
      <w:r>
        <w:t>Cloud-site hardware and software are included as a separate design area. The working assumption is a configuration at least as capable as the local site, including a 96 GB GPU; it requires confirmation.</w:t>
      </w:r>
    </w:p>
    <w:p>
      <w:pPr>
        <w:pStyle w:val="ListParagraph"/>
        <w:numPr>
          <w:ilvl w:val="0"/>
          <w:numId w:val="2"/>
        </w:numPr>
        <w:spacing w:after="60" w:line="276"/>
      </w:pPr>
      <w:r>
        <w:t>The earlier decision to omit cloud backup is reversed. A separate VPS relay for trackers is unnecessary.</w:t>
      </w:r>
    </w:p>
    <w:p>
      <w:pPr>
        <w:pStyle w:val="ListParagraph"/>
        <w:numPr>
          <w:ilvl w:val="0"/>
          <w:numId w:val="2"/>
        </w:numPr>
        <w:spacing w:after="60" w:line="276"/>
      </w:pPr>
      <w:r>
        <w:t>Section III compares two ways to use local AI and states the conditions for selecting one.</w:t>
      </w:r>
    </w:p>
    <w:p>
      <w:pPr>
        <w:pStyle w:val="ListParagraph"/>
        <w:numPr>
          <w:ilvl w:val="0"/>
          <w:numId w:val="2"/>
        </w:numPr>
        <w:spacing w:after="60" w:line="276"/>
      </w:pPr>
      <w:r>
        <w:t>The budget is recalculated for both options.</w:t>
      </w:r>
    </w:p>
    <w:p>
      <w:pPr>
        <w:spacing w:before="0" w:after="120"/>
      </w:pPr>
      <w:r>
        <w:rPr>
          <w:b/>
        </w:rPr>
        <w:t xml:space="preserve">Commercial purpose. </w:t>
      </w:r>
      <w:r>
        <w:t>This specification estimates the technical cost of establishing one additional Oristella project centre for a contracting partner. Oristella already holds the core software licences for its central system; their acquisition is not charged again in the centre estimate. Additional site-specific licences, seats, subscriptions, transfers and renewals are treated as budget items or exclusions only where expressly identified below. The price payable under a project-centre agreement will reflect the selected configuration, the separately quoted site-specific costs and Oristella's contracted services.</w:t>
      </w:r>
    </w:p>
    <w:p>
      <w:pPr>
        <w:pStyle w:val="Heading2"/>
        <w:keepNext/>
      </w:pPr>
      <w:r>
        <w:t>2 Initial conditions and assumptions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4800"/>
        <w:gridCol w:w="2438"/>
      </w:tblGrid>
      <w:tr>
        <w:trPr>
          <w:cantSplit/>
          <w:tblHeader/>
        </w:trPr>
        <w:tc>
          <w:tcPr>
            <w:tcW w:type="dxa" w:w="2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Conditions</w:t>
            </w:r>
          </w:p>
        </w:tc>
        <w:tc>
          <w:tcPr>
            <w:tcW w:type="dxa" w:w="4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Value</w:t>
            </w:r>
          </w:p>
        </w:tc>
        <w:tc>
          <w:tcPr>
            <w:tcW w:type="dxa" w:w="24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Source</w:t>
            </w:r>
          </w:p>
        </w:tc>
      </w:tr>
      <w:tr>
        <w:trPr>
          <w:cantSplit/>
        </w:trPr>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Site channel</w:t>
            </w:r>
          </w:p>
        </w:tc>
        <w:tc>
          <w:tcPr>
            <w:tcW w:type="dxa" w:w="4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10 Mbps both ways, traffic is unlimited</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Customer data</w:t>
            </w:r>
          </w:p>
        </w:tc>
      </w:tr>
      <w:tr>
        <w:trPr>
          <w:cantSplit/>
        </w:trPr>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Cloud internet connection</w:t>
            </w:r>
          </w:p>
        </w:tc>
        <w:tc>
          <w:tcPr>
            <w:tcW w:type="dxa" w:w="4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At least 100 Mbps</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Customer data</w:t>
            </w:r>
          </w:p>
        </w:tc>
      </w:tr>
      <w:tr>
        <w:trPr>
          <w:cantSplit/>
        </w:trPr>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Link site-cloud</w:t>
            </w:r>
          </w:p>
        </w:tc>
        <w:tc>
          <w:tcPr>
            <w:tcW w:type="dxa" w:w="4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Limited by site channel, 10 Mbps</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Adopted upon agreement</w:t>
            </w:r>
          </w:p>
        </w:tc>
      </w:tr>
      <w:tr>
        <w:trPr>
          <w:cantSplit/>
        </w:trPr>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Cloud site</w:t>
            </w:r>
          </w:p>
        </w:tc>
        <w:tc>
          <w:tcPr>
            <w:tcW w:type="dxa" w:w="4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Company-controlled remote site. Assumed at least as capable as the local site, including a 96 GB GPU</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Design assumption requiring confirmation</w:t>
            </w:r>
          </w:p>
        </w:tc>
      </w:tr>
      <w:tr>
        <w:trPr>
          <w:cantSplit/>
        </w:trPr>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Channel delay and availability</w:t>
            </w:r>
          </w:p>
        </w:tc>
        <w:tc>
          <w:tcPr>
            <w:tcW w:type="dxa" w:w="4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Unknown.</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No data.</w:t>
            </w:r>
          </w:p>
        </w:tc>
      </w:tr>
      <w:tr>
        <w:trPr>
          <w:cantSplit/>
        </w:trPr>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Micromine 2016</w:t>
            </w:r>
          </w:p>
        </w:tc>
        <w:tc>
          <w:tcPr>
            <w:tcW w:type="dxa" w:w="4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Available and excluded from the stage 1 budget. Geobank is deferred</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Customer data</w:t>
            </w:r>
          </w:p>
        </w:tc>
      </w:tr>
      <w:tr>
        <w:trPr>
          <w:cantSplit/>
        </w:trPr>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Phase 1 users</w:t>
            </w:r>
          </w:p>
        </w:tc>
        <w:tc>
          <w:tcPr>
            <w:tcW w:type="dxa" w:w="4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3–5</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Customer data</w:t>
            </w:r>
          </w:p>
        </w:tc>
      </w:tr>
      <w:tr>
        <w:trPr>
          <w:cantSplit/>
        </w:trPr>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Stages</w:t>
            </w:r>
          </w:p>
        </w:tc>
        <w:tc>
          <w:tcPr>
            <w:tcW w:type="dxa" w:w="4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Stages 0 and 1: prototype in a working room, without a server room or rack. Stage 2: server room, rack case and deferred licences</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Adopted planning basis</w:t>
            </w:r>
          </w:p>
        </w:tc>
      </w:tr>
      <w:tr>
        <w:trPr>
          <w:cantSplit/>
        </w:trPr>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Prices</w:t>
            </w:r>
          </w:p>
        </w:tc>
        <w:tc>
          <w:tcPr>
            <w:tcW w:type="dxa" w:w="4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USD, rate 1 EUR = 1.1181 USD; retail without delivery, duties and VAT; reserve 15% to CAPEX stages 0– 1st</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Annex A</w:t>
            </w:r>
          </w:p>
        </w:tc>
      </w:tr>
      <w:tr>
        <w:trPr>
          <w:cantSplit/>
        </w:trPr>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Prototype loading</w:t>
            </w:r>
          </w:p>
        </w:tc>
        <w:tc>
          <w:tcPr>
            <w:tcW w:type="dxa" w:w="4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Uneven loading is acceptable; test each function at prototype scale</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Customer data</w:t>
            </w:r>
          </w:p>
        </w:tc>
      </w:tr>
    </w:tbl>
    <w:p>
      <w:pPr>
        <w:keepNext w:val="false"/>
        <w:spacing w:after="120" w:before="100" w:line="276"/>
        <w:jc w:val="left"/>
      </w:pPr>
      <w:r>
        <w:t>A published price comes from a public source listed in Annex A. An estimate is an engineering assumption without a supplier quotation. The totals combine ranges and are not supplier offers.</w:t>
      </w:r>
    </w:p>
    <w:p>
      <w:pPr>
        <w:pStyle w:val="Heading2"/>
        <w:keepNext/>
      </w:pPr>
      <w:r>
        <w:t>3 Adopted architectural decisions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4300"/>
        <w:gridCol w:w="3638"/>
      </w:tblGrid>
      <w:tr>
        <w:trPr>
          <w:cantSplit/>
          <w:tblHeader/>
        </w:trPr>
        <w:tc>
          <w:tcPr>
            <w:tcW w:type="dxa" w:w="1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Topic</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36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Note and risk</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GPU and Windows (option A)</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One GPU. Passthrough in Windows 11 VM on demand; vLLM and GPU containers stop for now</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Check GPU reset at VFIO on Blackwell before purchasing the rest</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GPU and Windows (option B)</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The GPU is entirely level 1 AI without switching. Windows VM with Micromine and Metashape runs in the cloud: during the day on the GPU 96 GB, at night the GPU is given to packet LLM tasks</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License Transfer, Sufficient Channel and Cloud Switch Schedule</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Virtualization</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Ubuntu Server 24.04, KVM/libvirt. GPU switches hook scripts between host and VM. Docker and LLM on host</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Non-monitor host (BMC). We need a switch script.</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GPU</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RTX PRO 6000 Blackwell Max-Q 96GB (300W)</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Do not base procurement on grey-market listings</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CPU and chassis</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Threadripper PRO 9965WX, 24 cores. Tower and ATX 1600W now; 4U rack and PSU redundant in stage 2</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The 24-core option is cheaper than 32 cores and reduces Windows Server licensing cost. Verify that the EEB board fits both chassis</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LLM</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Qwen3-30B-A3B-Instruct-2507 (MoE, 30.5 billion parameters, 3.3 billion active, Apache 2.0, context up to 262K), FP8, vLLM</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About 55–60% of VRAM, gpu-memory-utilization is set explicitly. For tests, you can alternately gpt-oss-120b</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Embeddings, reranker, OCR</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Qwen3-Embedding 4B and Qwen3-Reranker 4B; Docling (structure) and PaddleOCR (scans)</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About 16GB of VRAM under embedding and reranker (estimate); balance of about 25GB on OCR, DeepStream and CV</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Object storage</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SeaweedFS, data on NAS, metadata on NVMe host</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Check the S3 API with applications</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Event bus</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Redpanda Community (BSL) with strict core and memory limits</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Check the terms of the license</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Backup</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Acronis: agents inside guests (Linux-host as a server, Windows Server VM, in variant A also Windows 11 VM); DB dumps and pgBackRest on the NAS; copies of critical dial in your cloud; offline copy on an external SSD</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Acronis Advanced is required if the KVM host is licensed as a virtualisation host. Verify whether backup copies can be sent to company storage</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Windows</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Server Evaluation 180 days and Windows 11 Enterprise Evaluation 90 days; licenses in stage 2 (Server for 24 cores)</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Emergency local accounts, reminder of the deadline. Access to MacBook: Check VDA</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Identity and TLS</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AD (LDAP/LDAPS), Caddy or Traefik, internal CA, WireGuard for remote access</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No MFA via LDAP</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Secrets, code, CI</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Ansible Vault and Vaultwarden; Forgejo (repositories, CI, image registry)</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Include secrets and code repositories in backup</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Trackers</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Traccar in the cloud (public address, channel at least 100 Mbps), replication to the site via WireGuard. VPS not needed</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When the cloud is not available, data is stored in the tracker memory. OPEX: SIM</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Video and audit</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Frigate (recording) and DeepStream (CV), archive 7 days on NAS. Agent audit: OpenTelemetry in Loki and Tempo, append-only table in PostgreSQL</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About 3.6 TB with 6 cameras of 8 Mbps (estimate). Tempo added to monitoring</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ERP</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Odoo Community 19 at stage 1; Odoo Enterprise (Custom) at stage 2</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Odoo prices depend on the region</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Network</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MikroTik CRS418-8P-8G-2S+RM for cameras and Wi-Fi points (PoE 140W)</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VLAN and ports diagram prior to installation</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VFD</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Small stand: engine, shield with protection and emergency stop, controller PROFINET, Startdrive</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Installation only by an electrician with clearance. Access only via Tool Gateway</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Cloud site</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Company cloud, assumed at least as capable as the local site: heavy LLM jobs, replicas, backup, central monitoring and Traccar</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Verify actual specifications (section 15)</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Separation of functions</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Site: equipment management, video, entrance, accounting, AI level 1. Cloud: Level 2 AI, replicas, backup, analytics</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Detailed in section III</w:t>
            </w:r>
          </w:p>
        </w:tc>
      </w:tr>
    </w:tbl>
    <w:p>
      <w:pPr>
        <w:pStyle w:val="Heading1"/>
        <w:pageBreakBefore/>
      </w:pPr>
      <w:r>
        <w:t>Section I Hardware</w:t>
      </w:r>
    </w:p>
    <w:p>
      <w:pPr>
        <w:pStyle w:val="Heading2"/>
        <w:keepNext/>
      </w:pPr>
      <w:r>
        <w:t>4 PROTO-01 main compute workstation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100"/>
        <w:gridCol w:w="700"/>
        <w:gridCol w:w="1500"/>
        <w:gridCol w:w="2838"/>
      </w:tblGrid>
      <w:tr>
        <w:trPr>
          <w:cantSplit/>
          <w:tblHeader/>
        </w:trPr>
        <w:tc>
          <w:tcPr>
            <w:tcW w:type="dxa" w:w="15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31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5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c>
          <w:tcPr>
            <w:tcW w:type="dxa" w:w="2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Basis</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Chassis</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Tower, high-airflow, EEB-compatible</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250–500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Estimate</w:t>
            </w:r>
          </w:p>
        </w:tc>
      </w:tr>
      <w:tr>
        <w:trPr>
          <w:cantSplit/>
        </w:trPr>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CPU</w:t>
            </w:r>
          </w:p>
        </w:tc>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AMD Threadripper PRO 9965WX, 24 cores</w:t>
            </w:r>
          </w:p>
        </w:tc>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2 900–3 500</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Price AMD 2 899, retail higher</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Motherboard</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WRX90, ECC, EEB, BMC/IPMI, 2×10GbE on board (e.g. ASUS Pro WS WRX90E-SAGE SE)</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1 200–1 700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Estimate. Check BMC and 10 GbE on the selected model</w:t>
            </w:r>
          </w:p>
        </w:tc>
      </w:tr>
      <w:tr>
        <w:trPr>
          <w:cantSplit/>
        </w:trPr>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RAM</w:t>
            </w:r>
          </w:p>
        </w:tc>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256GB DDR5 ECC RDIMM, 8x32GB</w:t>
            </w:r>
          </w:p>
        </w:tc>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3 000–8 000</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The market is volatile, we need a quote</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GPU</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RTX PRO 6000 Blackwell Max-Q, 96GB</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11 360–13 250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Public price: PNY and NVIDIA, 2026</w:t>
            </w:r>
          </w:p>
        </w:tc>
      </w:tr>
      <w:tr>
        <w:trPr>
          <w:cantSplit/>
        </w:trPr>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System NVMe</w:t>
            </w:r>
          </w:p>
        </w:tc>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Enterprise NVMe 2x2TB, RAID1</w:t>
            </w:r>
          </w:p>
        </w:tc>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600–1 000</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Work NVMe</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4 TB</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400–700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Estimate</w:t>
            </w:r>
          </w:p>
        </w:tc>
      </w:tr>
      <w:tr>
        <w:trPr>
          <w:cantSplit/>
        </w:trPr>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Additional storage</w:t>
            </w:r>
          </w:p>
        </w:tc>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SSD SATA 4–8 TB</w:t>
            </w:r>
          </w:p>
        </w:tc>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150–600</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PSU</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ATX 1600W, 80+ Platinum/Titanium</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350–550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Estimate. Allow margin for the 600 W GPU version</w:t>
            </w:r>
          </w:p>
        </w:tc>
      </w:tr>
      <w:tr>
        <w:trPr>
          <w:cantSplit/>
        </w:trPr>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CPU cooling</w:t>
            </w:r>
          </w:p>
        </w:tc>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Cooler or LFS for sTR5</w:t>
            </w:r>
          </w:p>
        </w:tc>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150–350</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Network and BMC</w:t>
            </w:r>
          </w:p>
        </w:tc>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On the motherboard.</w:t>
            </w:r>
          </w:p>
        </w:tc>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Included on the motherboard</w:t>
            </w:r>
          </w:p>
        </w:tc>
      </w:tr>
      <w:tr>
        <w:trPr>
          <w:cantSplit/>
        </w:trPr>
        <w:tc>
          <w:tcPr>
            <w:tcW w:type="dxa" w:w="15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t>Total PROTO-01</w:t>
            </w:r>
          </w:p>
        </w:tc>
        <w:tc>
          <w:tcPr>
            <w:tcW w:type="dxa" w:w="31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7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5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20 359–30 150</w:t>
            </w:r>
          </w:p>
        </w:tc>
        <w:tc>
          <w:tcPr>
            <w:tcW w:type="dxa" w:w="2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r>
    </w:tbl>
    <w:p>
      <w:pPr>
        <w:spacing w:after="120"/>
      </w:pPr>
    </w:p>
    <w:p>
      <w:pPr>
        <w:keepNext w:val="false"/>
        <w:spacing w:after="120" w:before="0" w:line="276"/>
        <w:jc w:val="left"/>
      </w:pPr>
      <w:r>
        <w:t>Role: AI/LLM, CV/OCR, embedding and reranker, Docker, PostgreSQL/TimescaleDB/Qdrant, Redpanda, Odoo, Traccar, Forgejo, Frigate, agent orchestrator, KVM/QEMU, Windows Server Evaluation VM (AD/DNS), Windows 11 VM (engineering software, GPU on demand; option A only).</w:t>
      </w:r>
    </w:p>
    <w:p>
      <w:pPr>
        <w:keepNext w:val="false"/>
        <w:spacing w:after="120" w:before="0" w:line="276"/>
        <w:jc w:val="left"/>
      </w:pPr>
      <w:r>
        <w:t>Price risk. The source records an RTX PRO 6000 Blackwell price of USD 13,250, 55% above its USD 8,565 launch price. Secondary-market listings are stated at USD 17,860–21,800. Purchase only through authorised channels; availability and the actual GPU quotation strongly affect the entire project budget.</w:t>
      </w:r>
    </w:p>
    <w:p>
      <w:pPr>
        <w:pStyle w:val="Heading2"/>
        <w:keepNext/>
      </w:pPr>
      <w:r>
        <w:t>5 Workstation and client devices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900"/>
        <w:gridCol w:w="1838"/>
      </w:tblGrid>
      <w:tr>
        <w:trPr>
          <w:cantSplit/>
          <w:tblHeader/>
        </w:trPr>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Specification</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Monitors</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 × 32" 4K IPS, 1 × 27" 4K IPS</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1 680–2 800</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MacBook Pro 16"</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Apple Silicon Pro/Max, 64GB, 2TB</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3 350–5 590</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Docking station</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USB-C/Thunderbolt</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340–670</w:t>
            </w:r>
          </w:p>
        </w:tc>
      </w:tr>
      <w:tr>
        <w:trPr>
          <w:cantSplit/>
        </w:trPr>
        <w:tc>
          <w:tcPr>
            <w:tcW w:type="dxa" w:w="26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w:t>
            </w:r>
          </w:p>
        </w:tc>
        <w:tc>
          <w:tcPr>
            <w:tcW w:type="dxa" w:w="43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5 370–9 060</w:t>
            </w:r>
          </w:p>
        </w:tc>
      </w:tr>
    </w:tbl>
    <w:p>
      <w:pPr>
        <w:keepNext w:val="false"/>
        <w:spacing w:after="120" w:before="80" w:line="276"/>
        <w:jc w:val="left"/>
      </w:pPr>
      <w:r>
        <w:t>This line remains the v0.6 engineering estimate.</w:t>
      </w:r>
    </w:p>
    <w:p>
      <w:pPr>
        <w:pStyle w:val="Heading2"/>
        <w:keepNext/>
      </w:pPr>
      <w:r>
        <w:t>6 Data storage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4900"/>
        <w:gridCol w:w="900"/>
        <w:gridCol w:w="1838"/>
      </w:tblGrid>
      <w:tr>
        <w:trPr>
          <w:cantSplit/>
          <w:tblHeader/>
        </w:trPr>
        <w:tc>
          <w:tcPr>
            <w:tcW w:type="dxa" w:w="2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r>
      <w:tr>
        <w:trPr>
          <w:cantSplit/>
        </w:trPr>
        <w:tc>
          <w:tcPr>
            <w:tcW w:type="dxa" w:w="2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NAS</w:t>
            </w:r>
          </w:p>
        </w:tc>
        <w:tc>
          <w:tcPr>
            <w:tcW w:type="dxa" w:w="4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Synology DS1823xs+ (8 compartments, 10GbE on board), RAM expand to 32GB</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1 800–2 800</w:t>
            </w:r>
          </w:p>
        </w:tc>
      </w:tr>
      <w:tr>
        <w:trPr>
          <w:cantSplit/>
        </w:trPr>
        <w:tc>
          <w:tcPr>
            <w:tcW w:type="dxa" w:w="2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HDD</w:t>
            </w:r>
          </w:p>
        </w:tc>
        <w:tc>
          <w:tcPr>
            <w:tcW w:type="dxa" w:w="4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16 TB enterprise/NAS, from the Synology Compatibility List</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8</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2 800–4 200</w:t>
            </w:r>
          </w:p>
        </w:tc>
      </w:tr>
      <w:tr>
        <w:trPr>
          <w:cantSplit/>
        </w:trPr>
        <w:tc>
          <w:tcPr>
            <w:tcW w:type="dxa" w:w="2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RAID</w:t>
            </w:r>
          </w:p>
        </w:tc>
        <w:tc>
          <w:tcPr>
            <w:tcW w:type="dxa" w:w="4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RAID6, about 96 TB of usable volume</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w:t>
            </w:r>
          </w:p>
        </w:tc>
      </w:tr>
      <w:tr>
        <w:trPr>
          <w:cantSplit/>
        </w:trPr>
        <w:tc>
          <w:tcPr>
            <w:tcW w:type="dxa" w:w="20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t>Total NAS and HDD</w:t>
            </w:r>
          </w:p>
        </w:tc>
        <w:tc>
          <w:tcPr>
            <w:tcW w:type="dxa" w:w="4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4 600–7 000</w:t>
            </w:r>
          </w:p>
        </w:tc>
      </w:tr>
    </w:tbl>
    <w:p>
      <w:pPr>
        <w:spacing w:after="80"/>
      </w:pPr>
    </w:p>
    <w:p>
      <w:pPr>
        <w:keepNext w:val="false"/>
        <w:spacing w:after="120" w:before="0" w:line="276"/>
        <w:jc w:val="left"/>
      </w:pPr>
      <w:r>
        <w:t>The NAS stores SeaweedFS data, a seven-day Frigate archive of approximately 3.6 TB, database dumps, pgBackRest and Acronis copies. The range is an estimate. Before purchase, confirm Synology's policy on third-party drives and the compatibility list for this model.</w:t>
      </w:r>
    </w:p>
    <w:p>
      <w:pPr>
        <w:pStyle w:val="Heading2"/>
        <w:keepNext/>
      </w:pPr>
      <w:r>
        <w:t>7 Network equipment and spare parts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4000"/>
        <w:gridCol w:w="900"/>
        <w:gridCol w:w="1838"/>
      </w:tblGrid>
      <w:tr>
        <w:trPr>
          <w:cantSplit/>
          <w:tblHeader/>
        </w:trPr>
        <w:tc>
          <w:tcPr>
            <w:tcW w:type="dxa" w:w="2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Model</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Total (USD)</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Router and firewall</w:t>
            </w:r>
          </w:p>
        </w:tc>
        <w:tc>
          <w:tcPr>
            <w:tcW w:type="dxa" w:w="4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MikroTik RB5009UG+S+IN</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208–220</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Core switch</w:t>
            </w:r>
          </w:p>
        </w:tc>
        <w:tc>
          <w:tcPr>
            <w:tcW w:type="dxa" w:w="4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MikroTik CRS309-1G8S+IN</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227–285</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Wi-Fi hotspot</w:t>
            </w:r>
          </w:p>
        </w:tc>
        <w:tc>
          <w:tcPr>
            <w:tcW w:type="dxa" w:w="4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MikroTik cAP ax</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1–2</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110–290</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PoE switch</w:t>
            </w:r>
          </w:p>
        </w:tc>
        <w:tc>
          <w:tcPr>
            <w:tcW w:type="dxa" w:w="4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MikroTik CRS418-8P-8G-2S+RM: 8 PoE+ ports, 8 GE, 2 SFP+, PoE 140W budget</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439</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DAC 10GbE cable</w:t>
            </w:r>
          </w:p>
        </w:tc>
        <w:tc>
          <w:tcPr>
            <w:tcW w:type="dxa" w:w="4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SFP+ DAC 1–3 m</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45–75</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Module SFP+ RJ45</w:t>
            </w:r>
          </w:p>
        </w:tc>
        <w:tc>
          <w:tcPr>
            <w:tcW w:type="dxa" w:w="4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10GBase-T for NAS and PROTO-01</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80–120</w:t>
            </w:r>
          </w:p>
        </w:tc>
      </w:tr>
      <w:tr>
        <w:trPr>
          <w:cantSplit/>
        </w:trPr>
        <w:tc>
          <w:tcPr>
            <w:tcW w:type="dxa" w:w="2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t>Total network equipment</w:t>
            </w:r>
          </w:p>
        </w:tc>
        <w:tc>
          <w:tcPr>
            <w:tcW w:type="dxa" w:w="40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1 109–1 429</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4000"/>
        <w:gridCol w:w="900"/>
        <w:gridCol w:w="1838"/>
      </w:tblGrid>
      <w:tr>
        <w:trPr>
          <w:cantSplit/>
          <w:tblHeader/>
        </w:trPr>
        <w:tc>
          <w:tcPr>
            <w:tcW w:type="dxa" w:w="2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Spare part</w:t>
            </w:r>
          </w:p>
        </w:tc>
        <w:tc>
          <w:tcPr>
            <w:tcW w:type="dxa" w:w="4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Total (USD)</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Power supplies RB5009, CRS309, CRS418</w:t>
            </w:r>
          </w:p>
        </w:tc>
        <w:tc>
          <w:tcPr>
            <w:tcW w:type="dxa" w:w="4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Replacement in case of failure</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65–110</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DAC backup cable</w:t>
            </w:r>
          </w:p>
        </w:tc>
        <w:tc>
          <w:tcPr>
            <w:tcW w:type="dxa" w:w="4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Replacement if the cable fails</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30–50</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Spare SFP+ modules</w:t>
            </w:r>
          </w:p>
        </w:tc>
        <w:tc>
          <w:tcPr>
            <w:tcW w:type="dxa" w:w="4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When using optics</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40–80</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Cat6A Patch Cords</w:t>
            </w:r>
          </w:p>
        </w:tc>
        <w:tc>
          <w:tcPr>
            <w:tcW w:type="dxa" w:w="4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Spare set</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5</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15–40</w:t>
            </w:r>
          </w:p>
        </w:tc>
      </w:tr>
      <w:tr>
        <w:trPr>
          <w:cantSplit/>
        </w:trPr>
        <w:tc>
          <w:tcPr>
            <w:tcW w:type="dxa" w:w="2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t>Total network spare parts</w:t>
            </w:r>
          </w:p>
        </w:tc>
        <w:tc>
          <w:tcPr>
            <w:tcW w:type="dxa" w:w="40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9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150–280</w:t>
            </w:r>
          </w:p>
        </w:tc>
      </w:tr>
    </w:tbl>
    <w:p>
      <w:pPr>
        <w:keepNext w:val="false"/>
        <w:spacing w:after="120" w:before="100" w:line="276"/>
        <w:jc w:val="left"/>
      </w:pPr>
      <w:r>
        <w:t>Prepare a VLAN and port diagram, including Industrial VLAN 50 for PROFINET, and calculate the PoE budget. Six cameras and two access points fit within 140 W only if each camera draws no more than 12–15 W.</w:t>
      </w:r>
    </w:p>
    <w:p>
      <w:pPr>
        <w:pStyle w:val="Heading2"/>
        <w:keepNext/>
      </w:pPr>
      <w:r>
        <w:t>8 Camera system prototype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900"/>
        <w:gridCol w:w="1838"/>
      </w:tblGrid>
      <w:tr>
        <w:trPr>
          <w:cantSplit/>
          <w:tblHeader/>
        </w:trPr>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Demand</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IP camera</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8 MP, PoE+, ONVIF</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4–6</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1 120–2 240</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Fixtures and cables</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Complete set</w:t>
            </w:r>
          </w:p>
        </w:tc>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Included in the camera line</w:t>
            </w:r>
          </w:p>
        </w:tc>
      </w:tr>
    </w:tbl>
    <w:p>
      <w:pPr>
        <w:keepNext w:val="false"/>
        <w:spacing w:after="120" w:before="100" w:line="276"/>
        <w:jc w:val="left"/>
      </w:pPr>
      <w:r>
        <w:t>Frigate records and archives video; go2rtc relays streams to DeepStream. Keep a seven-day archive on the NAS. Frigate recording continues without GPU access while a Windows VM occupies the GPU, but GPU detection stops. Check applicable video-surveillance rules.</w:t>
      </w:r>
    </w:p>
    <w:p>
      <w:pPr>
        <w:pStyle w:val="Heading2"/>
        <w:keepNext/>
      </w:pPr>
      <w:r>
        <w:t>9 GPS trackers for freight vehicles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300"/>
        <w:gridCol w:w="900"/>
        <w:gridCol w:w="1838"/>
      </w:tblGrid>
      <w:tr>
        <w:trPr>
          <w:cantSplit/>
          <w:tblHeader/>
        </w:trPr>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Model</w:t>
            </w:r>
          </w:p>
        </w:tc>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Total (USD)</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GPS tracker</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Teltonika FMC880</w:t>
            </w:r>
          </w:p>
        </w:tc>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3–5</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200–380</w:t>
            </w:r>
          </w:p>
        </w:tc>
      </w:tr>
    </w:tbl>
    <w:p>
      <w:pPr>
        <w:keepNext w:val="false"/>
        <w:spacing w:after="120" w:before="100" w:line="276"/>
        <w:jc w:val="left"/>
      </w:pPr>
      <w:r>
        <w:t>Trackers send data to a publicly reachable Traccar instance in the cloud, which replicates to the local site over WireGuard. No separate VPS relay is required. Tracker flash memory buffers data when the cloud is unavailable. SIM tariffs are included in OPEX.</w:t>
      </w:r>
    </w:p>
    <w:p>
      <w:pPr>
        <w:pStyle w:val="Heading2"/>
        <w:keepNext/>
      </w:pPr>
      <w:r>
        <w:t>10 Variable frequency drive small test rig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3400"/>
        <w:gridCol w:w="1500"/>
        <w:gridCol w:w="2038"/>
      </w:tblGrid>
      <w:tr>
        <w:trPr>
          <w:cantSplit/>
          <w:tblHeader/>
        </w:trPr>
        <w:tc>
          <w:tcPr>
            <w:tcW w:type="dxa" w:w="2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3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15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c>
          <w:tcPr>
            <w:tcW w:type="dxa" w:w="20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Basis</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Frequency converter</w:t>
            </w:r>
          </w:p>
        </w:tc>
        <w:tc>
          <w:tcPr>
            <w:tcW w:type="dxa" w:w="3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Siemens SINAMICS G120X, 7.5 kW, PROFINET</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2 020</w:t>
            </w:r>
          </w:p>
        </w:tc>
        <w:tc>
          <w:tcPr>
            <w:tcW w:type="dxa" w:w="20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Price from v0.6</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Test engine or load</w:t>
            </w:r>
          </w:p>
        </w:tc>
        <w:tc>
          <w:tcPr>
            <w:tcW w:type="dxa" w:w="3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Low power (1.5–2.2 kW)</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300–600</w:t>
            </w:r>
          </w:p>
        </w:tc>
        <w:tc>
          <w:tcPr>
            <w:tcW w:type="dxa" w:w="20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Electrical enclosure</w:t>
            </w:r>
          </w:p>
        </w:tc>
        <w:tc>
          <w:tcPr>
            <w:tcW w:type="dxa" w:w="3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Circuit breakers, protection and emergency stop</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500–1 000</w:t>
            </w:r>
          </w:p>
        </w:tc>
        <w:tc>
          <w:tcPr>
            <w:tcW w:type="dxa" w:w="20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Estimate</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Controller PROFINET</w:t>
            </w:r>
          </w:p>
        </w:tc>
        <w:tc>
          <w:tcPr>
            <w:tcW w:type="dxa" w:w="3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PLC or controller</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600–1 200</w:t>
            </w:r>
          </w:p>
        </w:tc>
        <w:tc>
          <w:tcPr>
            <w:tcW w:type="dxa" w:w="20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Installation and connection</w:t>
            </w:r>
          </w:p>
        </w:tc>
        <w:tc>
          <w:tcPr>
            <w:tcW w:type="dxa" w:w="3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Electrician with clearance</w:t>
            </w:r>
          </w:p>
        </w:tc>
        <w:tc>
          <w:tcPr>
            <w:tcW w:type="dxa" w:w="1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300–800</w:t>
            </w:r>
          </w:p>
        </w:tc>
        <w:tc>
          <w:tcPr>
            <w:tcW w:type="dxa" w:w="20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Estimate</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Startdrive/TIA Portal</w:t>
            </w:r>
          </w:p>
        </w:tc>
        <w:tc>
          <w:tcPr>
            <w:tcW w:type="dxa" w:w="3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Type of license and price check</w:t>
            </w:r>
          </w:p>
        </w:tc>
        <w:tc>
          <w:tcPr>
            <w:tcW w:type="dxa" w:w="1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TBD</w:t>
            </w:r>
          </w:p>
        </w:tc>
        <w:tc>
          <w:tcPr>
            <w:tcW w:type="dxa" w:w="20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Not included</w:t>
            </w:r>
          </w:p>
        </w:tc>
      </w:tr>
      <w:tr>
        <w:trPr>
          <w:cantSplit/>
        </w:trPr>
        <w:tc>
          <w:tcPr>
            <w:tcW w:type="dxa" w:w="27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 excluding software</w:t>
            </w:r>
          </w:p>
        </w:tc>
        <w:tc>
          <w:tcPr>
            <w:tcW w:type="dxa" w:w="34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5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3 720–5 620</w:t>
            </w:r>
          </w:p>
        </w:tc>
        <w:tc>
          <w:tcPr>
            <w:tcW w:type="dxa" w:w="20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r>
    </w:tbl>
    <w:p>
      <w:pPr>
        <w:keepNext w:val="false"/>
        <w:spacing w:after="120" w:before="100" w:line="276"/>
        <w:jc w:val="left"/>
      </w:pPr>
      <w:r>
        <w:t>Only a qualified electrician may connect the variable frequency drive to mains power. Route all VFD access through the Tool Gateway. Before the first motor run, verify that no command can bypass the gateway. Provide an emergency stop in the power circuit.</w:t>
      </w:r>
    </w:p>
    <w:p>
      <w:pPr>
        <w:pStyle w:val="Heading2"/>
        <w:keepNext/>
      </w:pPr>
      <w:r>
        <w:t>11 Power supply and infrastructure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4300"/>
        <w:gridCol w:w="2438"/>
      </w:tblGrid>
      <w:tr>
        <w:trPr>
          <w:cantSplit/>
          <w:tblHeader/>
        </w:trPr>
        <w:tc>
          <w:tcPr>
            <w:tcW w:type="dxa" w:w="2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Demand</w:t>
            </w:r>
          </w:p>
        </w:tc>
        <w:tc>
          <w:tcPr>
            <w:tcW w:type="dxa" w:w="24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Budget (USD)</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UPS</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Online double-conversion, 3-5 kVA</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1,680–3,350 (whole section)</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SNMP network card</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To monitor the UPS (can be purchased later)</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PDU and overvoltage protection</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Basic PDU, protection</w:t>
            </w:r>
          </w:p>
        </w:tc>
        <w:tc>
          <w:tcPr>
            <w:tcW w:type="dxa" w:w="2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Grounding</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Complete set</w:t>
            </w:r>
          </w:p>
        </w:tc>
        <w:tc>
          <w:tcPr>
            <w:tcW w:type="dxa" w:w="2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
            </w:r>
          </w:p>
        </w:tc>
      </w:tr>
    </w:tbl>
    <w:p>
      <w:pPr>
        <w:keepNext w:val="false"/>
        <w:spacing w:after="120" w:before="100" w:line="276"/>
        <w:jc w:val="left"/>
      </w:pPr>
      <w:r>
        <w:t>Provide automatic graceful shutdown on a UPS signal, using NUT or an equivalent, and calculate battery runtime.</w:t>
      </w:r>
    </w:p>
    <w:p>
      <w:pPr>
        <w:pStyle w:val="Heading2"/>
        <w:keepNext/>
      </w:pPr>
      <w:r>
        <w:t>12 Rack cabling and installation</w:t>
      </w:r>
    </w:p>
    <w:p>
      <w:pPr>
        <w:keepNext w:val="false"/>
        <w:spacing w:after="120" w:before="0" w:line="276"/>
        <w:jc w:val="left"/>
      </w:pPr>
      <w:r>
        <w:t>Rack installation is deferred to stage 2. The v0.6 estimate was USD 1,120–2,240. In stages 0 and 1, network equipment can be placed on a table or wall and PROTO-01 remains in a tower case. Stage 2 adds a 4U rack case for PROTO-01, a redundant PSU, an 18–24U rack, patch panel, KVM console, cable management, labelling and server-room cooling. Confirm prices before procurement.</w:t>
      </w:r>
    </w:p>
    <w:p>
      <w:pPr>
        <w:pStyle w:val="Heading2"/>
        <w:keepNext/>
      </w:pPr>
      <w:r>
        <w:t>13 Other spare parts tools and scanner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00"/>
        <w:gridCol w:w="1100"/>
        <w:gridCol w:w="1838"/>
      </w:tblGrid>
      <w:tr>
        <w:trPr>
          <w:cantSplit/>
          <w:tblHeader/>
        </w:trPr>
        <w:tc>
          <w:tcPr>
            <w:tcW w:type="dxa" w:w="6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11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Qty</w:t>
            </w:r>
          </w:p>
        </w:tc>
        <w:tc>
          <w:tcPr>
            <w:tcW w:type="dxa" w:w="1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Spare NVMe, RAM kit, 10GbE NIC, external SSD 4-8 TB (offline backup copy), USB for recovery, toolkit, label printer</w:t>
            </w:r>
          </w:p>
        </w:tc>
        <w:tc>
          <w:tcPr>
            <w:tcW w:type="dxa" w:w="1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kit</w:t>
            </w:r>
          </w:p>
        </w:tc>
        <w:tc>
          <w:tcPr>
            <w:tcW w:type="dxa" w:w="1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1 120–2 240</w:t>
            </w:r>
          </w:p>
        </w:tc>
      </w:tr>
      <w:tr>
        <w:trPr>
          <w:cantSplit/>
        </w:trPr>
        <w:tc>
          <w:tcPr>
            <w:tcW w:type="dxa" w:w="6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Document scanner with an auto feeder (e.g. Fujitsu/Ricoh fi-8170, ADF, duplex)</w:t>
            </w:r>
          </w:p>
        </w:tc>
        <w:tc>
          <w:tcPr>
            <w:tcW w:type="dxa" w:w="1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815–985</w:t>
            </w:r>
          </w:p>
        </w:tc>
      </w:tr>
      <w:tr>
        <w:trPr>
          <w:cantSplit/>
        </w:trPr>
        <w:tc>
          <w:tcPr>
            <w:tcW w:type="dxa" w:w="67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w:t>
            </w:r>
          </w:p>
        </w:tc>
        <w:tc>
          <w:tcPr>
            <w:tcW w:type="dxa" w:w="11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18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1 935–3 225</w:t>
            </w:r>
          </w:p>
        </w:tc>
      </w:tr>
    </w:tbl>
    <w:p>
      <w:pPr>
        <w:keepNext w:val="false"/>
        <w:spacing w:after="120" w:before="100" w:line="276"/>
        <w:jc w:val="left"/>
      </w:pPr>
      <w:r>
        <w:t>Spare RAM may cost considerably more than budgeted; see the price risk in section 4. Do not purchase the drone or GNSS equipment for Metashape and TBC in stage 1. Decide after the use cases are defined.</w:t>
      </w:r>
    </w:p>
    <w:p>
      <w:pPr>
        <w:pStyle w:val="Heading2"/>
        <w:keepNext/>
      </w:pPr>
      <w:r>
        <w:t>14 Hardware summary for stages 0 and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000"/>
        <w:gridCol w:w="2938"/>
      </w:tblGrid>
      <w:tr>
        <w:trPr>
          <w:cantSplit/>
          <w:tblHeader/>
        </w:trPr>
        <w:tc>
          <w:tcPr>
            <w:tcW w:type="dxa" w:w="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No.</w:t>
            </w:r>
          </w:p>
        </w:tc>
        <w:tc>
          <w:tcPr>
            <w:tcW w:type="dxa" w:w="6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Category</w:t>
            </w:r>
          </w:p>
        </w:tc>
        <w:tc>
          <w:tcPr>
            <w:tcW w:type="dxa" w:w="29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Budget (USD)</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PROTO-01</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20 359–30 150</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Monitors, MacBook Pro and Dock</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5 370–9 060</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NAS and HDD</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4 600–7 000</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4</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Network equipment</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1 109–1 429</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5</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Network parts</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150–280</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6</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Cameras</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1 120–2 240</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7</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GPS trackers (3-5 units)</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200–380</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8</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Frequency converter and stand (without software)</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3 720–5 620</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9</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UPS and power supply</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1 680–3 350</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10</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Other spare parts</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1 120–2 240</w:t>
            </w:r>
          </w:p>
        </w:tc>
      </w:tr>
      <w:tr>
        <w:trPr>
          <w:cantSplit/>
        </w:trPr>
        <w:tc>
          <w:tcPr>
            <w:tcW w:type="dxa" w:w="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11</w:t>
            </w:r>
          </w:p>
        </w:tc>
        <w:tc>
          <w:tcPr>
            <w:tcW w:type="dxa" w:w="6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Document scanner</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815–985</w:t>
            </w:r>
          </w:p>
        </w:tc>
      </w:tr>
      <w:tr>
        <w:trPr>
          <w:cantSplit/>
        </w:trPr>
        <w:tc>
          <w:tcPr>
            <w:tcW w:type="dxa" w:w="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t>
            </w:r>
          </w:p>
        </w:tc>
        <w:tc>
          <w:tcPr>
            <w:tcW w:type="dxa" w:w="6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Stand and installation</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postponed to stage 2</w:t>
            </w:r>
          </w:p>
        </w:tc>
      </w:tr>
      <w:tr>
        <w:trPr>
          <w:cantSplit/>
        </w:trPr>
        <w:tc>
          <w:tcPr>
            <w:tcW w:type="dxa" w:w="7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c>
          <w:tcPr>
            <w:tcW w:type="dxa" w:w="60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 hardware on the v0.8 cost basis</w:t>
            </w:r>
          </w:p>
        </w:tc>
        <w:tc>
          <w:tcPr>
            <w:tcW w:type="dxa" w:w="29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40 243–62 734</w:t>
            </w:r>
          </w:p>
        </w:tc>
      </w:tr>
    </w:tbl>
    <w:p>
      <w:pPr>
        <w:pStyle w:val="Heading2"/>
        <w:keepNext/>
      </w:pPr>
      <w:r>
        <w:t>15 Cloud site equipment</w:t>
      </w:r>
    </w:p>
    <w:p>
      <w:pPr>
        <w:keepNext w:val="false"/>
        <w:spacing w:after="120" w:before="0" w:line="276"/>
        <w:jc w:val="left"/>
      </w:pPr>
      <w:r>
        <w:t>The remote cloud is treated as company-owned, so its hardware cost is excluded from the stages 0 and 1 budget. Its assumed configuration is at least as capable as the local site; verify actual specifications.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4300"/>
        <w:gridCol w:w="3138"/>
      </w:tblGrid>
      <w:tr>
        <w:trPr>
          <w:cantSplit/>
          <w:tblHeader/>
        </w:trPr>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4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Assumption</w:t>
            </w:r>
          </w:p>
        </w:tc>
        <w:tc>
          <w:tcPr>
            <w:tcW w:type="dxa" w:w="31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r>
      <w:tr>
        <w:trPr>
          <w:cantSplit/>
        </w:trPr>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Server with GPU</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96 GB GPU in the RTX PRO 6000 Blackwell class; CPU, RAM and NVMe no less capable than PROTO-01</w:t>
            </w:r>
          </w:p>
        </w:tc>
        <w:tc>
          <w:tcPr>
            <w:tcW w:type="dxa" w:w="3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Level 2 AI; Windows VM with Micromine and Metashape in variant B; batch tasks</w:t>
            </w:r>
          </w:p>
        </w:tc>
      </w:tr>
      <w:tr>
        <w:trPr>
          <w:cantSplit/>
        </w:trPr>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Storage</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Size according to the inventory of the critical dataset, expected in TB</w:t>
            </w:r>
          </w:p>
        </w:tc>
        <w:tc>
          <w:tcPr>
            <w:tcW w:type="dxa" w:w="3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Database replicas, backup, mirrors of model weights and images, and Micromine data under Option B</w:t>
            </w:r>
          </w:p>
        </w:tc>
      </w:tr>
      <w:tr>
        <w:trPr>
          <w:cantSplit/>
        </w:trPr>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Network</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Internet channel at least 100 Mbps, public address, firewall, WireGuard hub</w:t>
            </w:r>
          </w:p>
        </w:tc>
        <w:tc>
          <w:tcPr>
            <w:tcW w:type="dxa" w:w="3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Reception of trackers, user access, communication with the site (10 Mbit/s)</w:t>
            </w:r>
          </w:p>
        </w:tc>
      </w:tr>
      <w:tr>
        <w:trPr>
          <w:cantSplit/>
        </w:trPr>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Power and availability</w:t>
            </w:r>
          </w:p>
        </w:tc>
        <w:tc>
          <w:tcPr>
            <w:tcW w:type="dxa" w:w="4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SLA cloud (no data)</w:t>
            </w:r>
          </w:p>
        </w:tc>
        <w:tc>
          <w:tcPr>
            <w:tcW w:type="dxa" w:w="3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Replicas and emergency launch of services</w:t>
            </w:r>
          </w:p>
        </w:tc>
      </w:tr>
      <w:tr>
        <w:trPr>
          <w:cantSplit/>
        </w:trPr>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Administration</w:t>
            </w:r>
          </w:p>
        </w:tc>
        <w:tc>
          <w:tcPr>
            <w:tcW w:type="dxa" w:w="4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Who administers and how: TBD</w:t>
            </w:r>
          </w:p>
        </w:tc>
        <w:tc>
          <w:tcPr>
            <w:tcW w:type="dxa" w:w="3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Updates, monitoring, emergency switching exercises</w:t>
            </w:r>
          </w:p>
        </w:tc>
      </w:tr>
    </w:tbl>
    <w:p>
      <w:pPr>
        <w:keepNext w:val="false"/>
        <w:spacing w:after="120" w:before="100" w:line="276"/>
        <w:jc w:val="left"/>
      </w:pPr>
      <w:r>
        <w:t>Under Option B, the cloud GPU is scheduled between the Windows VM during the day and batch level 2 LLM jobs at night (section 28.5). Under Option A, the cloud GPU can serve level 2 throughout the day.</w:t>
      </w:r>
    </w:p>
    <w:p>
      <w:pPr>
        <w:pStyle w:val="Heading1"/>
        <w:pageBreakBefore/>
      </w:pPr>
      <w:r>
        <w:t>Section II Software</w:t>
      </w:r>
    </w:p>
    <w:p>
      <w:pPr>
        <w:pStyle w:val="Heading2"/>
        <w:keepNext/>
      </w:pPr>
      <w:r>
        <w:t>16 Operating systems and infrastructure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100"/>
        <w:gridCol w:w="1300"/>
        <w:gridCol w:w="1600"/>
        <w:gridCol w:w="1938"/>
      </w:tblGrid>
      <w:tr>
        <w:trPr>
          <w:cantSplit/>
          <w:tblHeader/>
        </w:trPr>
        <w:tc>
          <w:tcPr>
            <w:tcW w:type="dxa" w:w="2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21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1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Host</w:t>
            </w:r>
          </w:p>
        </w:tc>
        <w:tc>
          <w:tcPr>
            <w:tcW w:type="dxa" w:w="1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Licence</w:t>
            </w:r>
          </w:p>
        </w:tc>
        <w:tc>
          <w:tcPr>
            <w:tcW w:type="dxa" w:w="19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Cost (USD)</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Ubuntu Server 24.04 LTS</w:t>
            </w:r>
          </w:p>
        </w:tc>
        <w:tc>
          <w:tcPr>
            <w:tcW w:type="dxa" w:w="2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Main operating system</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PROTO-01</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 Source</w:t>
            </w:r>
          </w:p>
        </w:tc>
        <w:tc>
          <w:tcPr>
            <w:tcW w:type="dxa" w:w="1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Docker Engine, Compose v2</w:t>
            </w:r>
          </w:p>
        </w:tc>
        <w:tc>
          <w:tcPr>
            <w:tcW w:type="dxa" w:w="2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Containers</w:t>
            </w:r>
          </w:p>
        </w:tc>
        <w:tc>
          <w:tcPr>
            <w:tcW w:type="dxa" w:w="1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PROTO-01</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 Source</w:t>
            </w:r>
          </w:p>
        </w:tc>
        <w:tc>
          <w:tcPr>
            <w:tcW w:type="dxa" w:w="1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KVM/QEMU, libvirt</w:t>
            </w:r>
          </w:p>
        </w:tc>
        <w:tc>
          <w:tcPr>
            <w:tcW w:type="dxa" w:w="2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Virtualization</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PROTO-01</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 Source</w:t>
            </w:r>
          </w:p>
        </w:tc>
        <w:tc>
          <w:tcPr>
            <w:tcW w:type="dxa" w:w="1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Windows Server 2025 Evaluation</w:t>
            </w:r>
          </w:p>
        </w:tc>
        <w:tc>
          <w:tcPr>
            <w:tcW w:type="dxa" w:w="2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AD/DNS, 180 days</w:t>
            </w:r>
          </w:p>
        </w:tc>
        <w:tc>
          <w:tcPr>
            <w:tcW w:type="dxa" w:w="1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VM</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Evaluation</w:t>
            </w:r>
          </w:p>
        </w:tc>
        <w:tc>
          <w:tcPr>
            <w:tcW w:type="dxa" w:w="1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Windows 11 Enterprise Evaluation</w:t>
            </w:r>
          </w:p>
        </w:tc>
        <w:tc>
          <w:tcPr>
            <w:tcW w:type="dxa" w:w="2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Software engineering, 90 days (option A: site; option B: cloud)</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VM with GPU</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Evaluation</w:t>
            </w:r>
          </w:p>
        </w:tc>
        <w:tc>
          <w:tcPr>
            <w:tcW w:type="dxa" w:w="1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Windows Server Standard (24 cores) and CAL</w:t>
            </w:r>
          </w:p>
        </w:tc>
        <w:tc>
          <w:tcPr>
            <w:tcW w:type="dxa" w:w="2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Stage 2</w:t>
            </w:r>
          </w:p>
        </w:tc>
        <w:tc>
          <w:tcPr>
            <w:tcW w:type="dxa" w:w="1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VM</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Commercial</w:t>
            </w:r>
          </w:p>
        </w:tc>
        <w:tc>
          <w:tcPr>
            <w:tcW w:type="dxa" w:w="1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1 800–2 300</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Windows 11 Pro / VDA</w:t>
            </w:r>
          </w:p>
        </w:tc>
        <w:tc>
          <w:tcPr>
            <w:tcW w:type="dxa" w:w="2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Stage 2</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VM</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Commercial</w:t>
            </w:r>
          </w:p>
        </w:tc>
        <w:tc>
          <w:tcPr>
            <w:tcW w:type="dxa" w:w="1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199 and above</w:t>
            </w:r>
          </w:p>
        </w:tc>
      </w:tr>
    </w:tbl>
    <w:p>
      <w:pPr>
        <w:keepNext w:val="false"/>
        <w:spacing w:after="120" w:before="100" w:line="276"/>
        <w:jc w:val="left"/>
      </w:pPr>
      <w:r>
        <w:t>The Windows Server license counts for all physical host cores: 24 cores is a 16-core license plus 8 cores (the published prices of the 16-core license are about 1,000–1,330 USD), plus about 265 USD for 5 custom CALs. RDS CAL is not needed as long as the engineering software runs on a single Windows 11 VM. Accessing Windows 11 VM from a MacBook usually requires a VDA license: check Microsoft's terms.</w:t>
      </w:r>
    </w:p>
    <w:p>
      <w:pPr>
        <w:pStyle w:val="Heading2"/>
        <w:keepNext/>
      </w:pPr>
      <w:r>
        <w:t>17 AI data and agents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2600"/>
        <w:gridCol w:w="3838"/>
      </w:tblGrid>
      <w:tr>
        <w:trPr>
          <w:cantSplit/>
          <w:tblHeader/>
        </w:trPr>
        <w:tc>
          <w:tcPr>
            <w:tcW w:type="dxa" w:w="3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3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r>
      <w:tr>
        <w:trPr>
          <w:cantSplit/>
        </w:trPr>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NVIDIA Driver, CUDA, Container Toolkit</w:t>
            </w:r>
          </w:p>
        </w:tc>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GPU</w:t>
            </w:r>
          </w:p>
        </w:tc>
        <w:tc>
          <w:tcPr>
            <w:tcW w:type="dxa" w:w="3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Check for Blackwell support (sm 120)</w:t>
            </w:r>
          </w:p>
        </w:tc>
      </w:tr>
      <w:tr>
        <w:trPr>
          <w:cantSplit/>
        </w:trPr>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PyTorch, Transformers, vLLM</w:t>
            </w:r>
          </w:p>
        </w:tc>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ML and inference</w:t>
            </w:r>
          </w:p>
        </w:tc>
        <w:tc>
          <w:tcPr>
            <w:tcW w:type="dxa" w:w="3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Check on the pilot.</w:t>
            </w:r>
          </w:p>
        </w:tc>
      </w:tr>
      <w:tr>
        <w:trPr>
          <w:cantSplit/>
        </w:trPr>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Qwen3-30B-A3B-Instruct-2507</w:t>
            </w:r>
          </w:p>
        </w:tc>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Major LLM</w:t>
            </w:r>
          </w:p>
        </w:tc>
        <w:tc>
          <w:tcPr>
            <w:tcW w:type="dxa" w:w="3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Apache 2.0, FP8, about 55-60% VRAM</w:t>
            </w:r>
          </w:p>
        </w:tc>
      </w:tr>
      <w:tr>
        <w:trPr>
          <w:cantSplit/>
        </w:trPr>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Qwen3-Embedding 4B</w:t>
            </w:r>
          </w:p>
        </w:tc>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Embeddings</w:t>
            </w:r>
          </w:p>
        </w:tc>
        <w:tc>
          <w:tcPr>
            <w:tcW w:type="dxa" w:w="3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Selected</w:t>
            </w:r>
          </w:p>
        </w:tc>
      </w:tr>
      <w:tr>
        <w:trPr>
          <w:cantSplit/>
        </w:trPr>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Qwen3-Reranker 4B</w:t>
            </w:r>
          </w:p>
        </w:tc>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Ranking RAG</w:t>
            </w:r>
          </w:p>
        </w:tc>
        <w:tc>
          <w:tcPr>
            <w:tcW w:type="dxa" w:w="3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Selected</w:t>
            </w:r>
          </w:p>
        </w:tc>
      </w:tr>
      <w:tr>
        <w:trPr>
          <w:cantSplit/>
        </w:trPr>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Docling and PaddleOCR</w:t>
            </w:r>
          </w:p>
        </w:tc>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Document analysis and OCR</w:t>
            </w:r>
          </w:p>
        </w:tc>
        <w:tc>
          <w:tcPr>
            <w:tcW w:type="dxa" w:w="3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Selected</w:t>
            </w:r>
          </w:p>
        </w:tc>
      </w:tr>
      <w:tr>
        <w:trPr>
          <w:cantSplit/>
        </w:trPr>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LangGraph, FastAPI</w:t>
            </w:r>
          </w:p>
        </w:tc>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Agent orchestration and API</w:t>
            </w:r>
          </w:p>
        </w:tc>
        <w:tc>
          <w:tcPr>
            <w:tcW w:type="dxa" w:w="3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 Source</w:t>
            </w:r>
          </w:p>
        </w:tc>
      </w:tr>
      <w:tr>
        <w:trPr>
          <w:cantSplit/>
        </w:trPr>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OpenCV, NVIDIA DeepStream</w:t>
            </w:r>
          </w:p>
        </w:tc>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Computer vision and video pipeline</w:t>
            </w:r>
          </w:p>
        </w:tc>
        <w:tc>
          <w:tcPr>
            <w:tcW w:type="dxa" w:w="3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Check the compatibility of DeepStream with Blackwell</w:t>
            </w:r>
          </w:p>
        </w:tc>
      </w:tr>
    </w:tbl>
    <w:p>
      <w:pPr>
        <w:pStyle w:val="Heading2"/>
        <w:keepNext/>
      </w:pPr>
      <w:r>
        <w:t>18 Data layer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2400"/>
        <w:gridCol w:w="4538"/>
      </w:tblGrid>
      <w:tr>
        <w:trPr>
          <w:cantSplit/>
          <w:tblHeader/>
        </w:trPr>
        <w:tc>
          <w:tcPr>
            <w:tcW w:type="dxa" w:w="2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2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45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PostgreSQL</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Source of Truth</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Verify version compatibility with Odoo, Traccar and TimescaleDB; Odoo on a separate cluster</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TimescaleDB Community</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Telemetry</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0 for internal use; check the terms of the license</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Qdrant</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Vector database</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Single-node mode, Apache 2.0 licence</w:t>
            </w:r>
          </w:p>
        </w:tc>
      </w:tr>
      <w:tr>
        <w:trPr>
          <w:cantSplit/>
        </w:trPr>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SeaweedFS</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Object storage</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NAS data, metadata on NVMe</w:t>
            </w:r>
          </w:p>
        </w:tc>
      </w:tr>
      <w:tr>
        <w:trPr>
          <w:cantSplit/>
        </w:trPr>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Redpanda Community</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Event bus</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BSL, core and memory limits</w:t>
            </w:r>
          </w:p>
        </w:tc>
      </w:tr>
    </w:tbl>
    <w:p>
      <w:pPr>
        <w:pStyle w:val="Heading2"/>
        <w:keepNext/>
      </w:pPr>
      <w:r>
        <w:t>19 Business systems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00"/>
        <w:gridCol w:w="2700"/>
        <w:gridCol w:w="2338"/>
      </w:tblGrid>
      <w:tr>
        <w:trPr>
          <w:cantSplit/>
          <w:tblHeader/>
        </w:trPr>
        <w:tc>
          <w:tcPr>
            <w:tcW w:type="dxa" w:w="4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2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23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Cost (USD)</w:t>
            </w:r>
          </w:p>
        </w:tc>
      </w:tr>
      <w:tr>
        <w:trPr>
          <w:cantSplit/>
        </w:trPr>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Odoo Community 19 (Phase 1)</w:t>
            </w:r>
          </w:p>
        </w:tc>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ERP, finance, warehouse</w:t>
            </w:r>
          </w:p>
        </w:tc>
        <w:tc>
          <w:tcPr>
            <w:tcW w:type="dxa" w:w="23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Odoo Enterprise, Custom plan, 5 users (Phase 2)</w:t>
            </w:r>
          </w:p>
        </w:tc>
        <w:tc>
          <w:tcPr>
            <w:tcW w:type="dxa" w:w="2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Advanced modules, APIs</w:t>
            </w:r>
          </w:p>
        </w:tc>
        <w:tc>
          <w:tcPr>
            <w:tcW w:type="dxa" w:w="23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2,940–3,660 a year</w:t>
            </w:r>
          </w:p>
        </w:tc>
      </w:tr>
      <w:tr>
        <w:trPr>
          <w:cantSplit/>
        </w:trPr>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Traccar</w:t>
            </w:r>
          </w:p>
        </w:tc>
        <w:tc>
          <w:tcPr>
            <w:tcW w:type="dxa" w:w="2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Fleet and GPS tracking</w:t>
            </w:r>
          </w:p>
        </w:tc>
        <w:tc>
          <w:tcPr>
            <w:tcW w:type="dxa" w:w="23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bl>
    <w:p>
      <w:pPr>
        <w:keepNext w:val="false"/>
        <w:spacing w:after="120" w:before="100" w:line="276"/>
        <w:jc w:val="left"/>
      </w:pPr>
      <w:r>
        <w:t>Published Odoo prices vary by region and promotion. The Custom plan is approximately USD 49 per user per month with annual payment and approximately USD 61 on renewal. The Standard plan is hosted by Odoo; self-hosting requires Custom.</w:t>
      </w:r>
    </w:p>
    <w:p>
      <w:pPr>
        <w:pStyle w:val="Heading2"/>
        <w:keepNext/>
      </w:pPr>
      <w:r>
        <w:t>20 Engineering software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00"/>
        <w:gridCol w:w="4200"/>
        <w:gridCol w:w="2338"/>
      </w:tblGrid>
      <w:tr>
        <w:trPr>
          <w:cantSplit/>
          <w:tblHeader/>
        </w:trPr>
        <w:tc>
          <w:tcPr>
            <w:tcW w:type="dxa" w:w="31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4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23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Cost (USD)</w:t>
            </w:r>
          </w:p>
        </w:tc>
      </w:tr>
      <w:tr>
        <w:trPr>
          <w:cantSplit/>
        </w:trPr>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Micromine 2016</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Available. Option A: local site; Option B: transfer licence to cloud, subject to Windows 11 compatibility and vendor terms</w:t>
            </w:r>
          </w:p>
        </w:tc>
        <w:tc>
          <w:tcPr>
            <w:tcW w:type="dxa" w:w="23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Excluded from budget</w:t>
            </w:r>
          </w:p>
        </w:tc>
      </w:tr>
      <w:tr>
        <w:trPr>
          <w:cantSplit/>
        </w:trPr>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Micromine Geobank</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Postponed, not before stage 2</w:t>
            </w:r>
          </w:p>
        </w:tc>
        <w:tc>
          <w:tcPr>
            <w:tcW w:type="dxa" w:w="23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TBD</w:t>
            </w:r>
          </w:p>
        </w:tc>
      </w:tr>
      <w:tr>
        <w:trPr>
          <w:cantSplit/>
        </w:trPr>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Civil 3D (AutoCAD) version 2027</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One named-user licence; use a monthly subscription for the test</w:t>
            </w:r>
          </w:p>
        </w:tc>
        <w:tc>
          <w:tcPr>
            <w:tcW w:type="dxa" w:w="23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360 per month, then 2,870–3,175 per year</w:t>
            </w:r>
          </w:p>
        </w:tc>
      </w:tr>
      <w:tr>
        <w:trPr>
          <w:cantSplit/>
        </w:trPr>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QGIS</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Open Source</w:t>
            </w:r>
          </w:p>
        </w:tc>
        <w:tc>
          <w:tcPr>
            <w:tcW w:type="dxa" w:w="23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31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Agisoft Metashape Professional</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In stage 1 trial period (conditions to check); purchase in stage 2. Option B: The license is hosted in the cloud</w:t>
            </w:r>
          </w:p>
        </w:tc>
        <w:tc>
          <w:tcPr>
            <w:tcW w:type="dxa" w:w="23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3,499 one-time</w:t>
            </w:r>
          </w:p>
        </w:tc>
      </w:tr>
      <w:tr>
        <w:trPr>
          <w:cantSplit/>
        </w:trPr>
        <w:tc>
          <w:tcPr>
            <w:tcW w:type="dxa" w:w="31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Trimble Business Center</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Deferred to stage 2; no geodetic source data yet</w:t>
            </w:r>
          </w:p>
        </w:tc>
        <w:tc>
          <w:tcPr>
            <w:tcW w:type="dxa" w:w="23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About 1,813 per year (unchecked)</w:t>
            </w:r>
          </w:p>
        </w:tc>
      </w:tr>
    </w:tbl>
    <w:p>
      <w:pPr>
        <w:keepNext w:val="false"/>
        <w:spacing w:after="120" w:before="100" w:line="276"/>
        <w:jc w:val="left"/>
      </w:pPr>
      <w:r>
        <w:t>Under Option A, all engineering applications run in one Windows 11 VM with local GPU access, one session at a time. Under Option B, Micromine 2016 and Metashape Professional must run in a cloud Windows VM; Civil 3D, QGIS and TBC are also assigned there by default. Engineers connect by RDP over WireGuard, subject to the checks in section 28.</w:t>
      </w:r>
    </w:p>
    <w:p>
      <w:pPr>
        <w:pStyle w:val="Heading2"/>
        <w:keepNext/>
      </w:pPr>
      <w:r>
        <w:t>21 Monitoring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00"/>
        <w:gridCol w:w="4438"/>
      </w:tblGrid>
      <w:tr>
        <w:trPr>
          <w:cantSplit/>
          <w:tblHeader/>
        </w:trPr>
        <w:tc>
          <w:tcPr>
            <w:tcW w:type="dxa" w:w="5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44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Prometheus, Grafana, Loki, OpenTelemetry</w:t>
            </w:r>
          </w:p>
        </w:tc>
        <w:tc>
          <w:tcPr>
            <w:tcW w:type="dxa" w:w="4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Metrics, dashboards, logs, telemetry</w:t>
            </w:r>
          </w:p>
        </w:tc>
      </w:tr>
      <w:tr>
        <w:trPr>
          <w:cantSplit/>
        </w:trPr>
        <w:tc>
          <w:tcPr>
            <w:tcW w:type="dxa" w:w="5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Tempo</w:t>
            </w:r>
          </w:p>
        </w:tc>
        <w:tc>
          <w:tcPr>
            <w:tcW w:type="dxa" w:w="4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Traces (added)</w:t>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Alertmanager and exporters (node, DCGM for GPU, SNMP for UPS and MikroTik, SMART)</w:t>
            </w:r>
          </w:p>
        </w:tc>
        <w:tc>
          <w:tcPr>
            <w:tcW w:type="dxa" w:w="4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Alerts and collection of metrics (added)</w:t>
            </w:r>
          </w:p>
        </w:tc>
      </w:tr>
    </w:tbl>
    <w:p>
      <w:pPr>
        <w:keepNext w:val="false"/>
        <w:spacing w:after="120" w:before="100" w:line="276"/>
        <w:jc w:val="left"/>
      </w:pPr>
      <w:r>
        <w:t>All Open Source, 0 USD.</w:t>
      </w:r>
    </w:p>
    <w:p>
      <w:pPr>
        <w:pStyle w:val="Heading2"/>
        <w:keepNext/>
      </w:pPr>
      <w:r>
        <w:t>22 DevOps security and backup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00"/>
        <w:gridCol w:w="3300"/>
        <w:gridCol w:w="2538"/>
      </w:tblGrid>
      <w:tr>
        <w:trPr>
          <w:cantSplit/>
          <w:tblHeader/>
        </w:trPr>
        <w:tc>
          <w:tcPr>
            <w:tcW w:type="dxa" w:w="3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3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25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Cost</w:t>
            </w:r>
          </w:p>
        </w:tc>
      </w:tr>
      <w:tr>
        <w:trPr>
          <w:cantSplit/>
        </w:trPr>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Forgejo, Git</w:t>
            </w:r>
          </w:p>
        </w:tc>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Repositories, CI, image registry</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Ansible, Ansible Vault</w:t>
            </w:r>
          </w:p>
        </w:tc>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Infrastructure configuration and secrets</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Vaultwarden</w:t>
            </w:r>
          </w:p>
        </w:tc>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User passwords</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WireGuard</w:t>
            </w:r>
          </w:p>
        </w:tc>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VPN and tracker channel</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Caddy or Traefik</w:t>
            </w:r>
          </w:p>
        </w:tc>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Reverse proxy with TLS</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Internal CA (e.g. step-ca)</w:t>
            </w:r>
          </w:p>
        </w:tc>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Certificates for LDAPS and Services</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Active Directory (LDAP)</w:t>
            </w:r>
          </w:p>
        </w:tc>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Central identity and sign-in</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Evaluation, stage 2: license</w:t>
            </w:r>
          </w:p>
        </w:tc>
      </w:tr>
      <w:tr>
        <w:trPr>
          <w:cantSplit/>
        </w:trPr>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Acronis Cyber Protect</w:t>
            </w:r>
          </w:p>
        </w:tc>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Backup host and Windows VM: 3 loads in variant A, 2 in variant B</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USD 1,330–1,670 per year in Option A; USD 1,245–1,561 in Option B, based on published prices</w:t>
            </w:r>
          </w:p>
        </w:tc>
      </w:tr>
      <w:tr>
        <w:trPr>
          <w:cantSplit/>
        </w:trPr>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pgBackRest and database dumps</w:t>
            </w:r>
          </w:p>
        </w:tc>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Database backup</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r>
        <w:trPr>
          <w:cantSplit/>
        </w:trPr>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OTel, Loki, Tempo and audit table in PostgreSQL</w:t>
            </w:r>
          </w:p>
        </w:tc>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Audit of agents' actions</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0</w:t>
            </w:r>
          </w:p>
        </w:tc>
      </w:tr>
    </w:tbl>
    <w:p>
      <w:pPr>
        <w:keepNext w:val="false"/>
        <w:spacing w:after="120" w:before="100" w:line="276"/>
        <w:jc w:val="left"/>
      </w:pPr>
      <w:r>
        <w:t>Acronis licensing assumptions: the Linux host and Windows Server VM are each treated as servers at approximately USD 620–780 per year; a Windows 11 VM is treated as a workstation at approximately USD 85–109. Licensing the KVM host as a virtualisation host would require the Advanced edition. Confirm the terms with the supplier.</w:t>
      </w:r>
    </w:p>
    <w:p>
      <w:pPr>
        <w:pStyle w:val="Heading2"/>
        <w:keepNext/>
      </w:pPr>
      <w:r>
        <w:t>23 Software summary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00"/>
        <w:gridCol w:w="2938"/>
      </w:tblGrid>
      <w:tr>
        <w:trPr>
          <w:cantSplit/>
          <w:tblHeader/>
        </w:trPr>
        <w:tc>
          <w:tcPr>
            <w:tcW w:type="dxa" w:w="6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Category</w:t>
            </w:r>
          </w:p>
        </w:tc>
        <w:tc>
          <w:tcPr>
            <w:tcW w:type="dxa" w:w="29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Cost (USD)</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One-time software payments in stages 0 and 1</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6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Acronis, year 1</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1 330–1 670</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Civil 3D, monthly for 3 months of testing</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1 080</w:t>
            </w:r>
          </w:p>
        </w:tc>
      </w:tr>
      <w:tr>
        <w:trPr>
          <w:cantSplit/>
        </w:trPr>
        <w:tc>
          <w:tcPr>
            <w:tcW w:type="dxa" w:w="67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Year 1 subscriptions in stages 0 and 1</w:t>
            </w:r>
          </w:p>
        </w:tc>
        <w:tc>
          <w:tcPr>
            <w:tcW w:type="dxa" w:w="29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2 410–2 750</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 to Stage 2: Windows Server and CAL</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1 800–2 300</w:t>
            </w:r>
          </w:p>
        </w:tc>
      </w:tr>
      <w:tr>
        <w:trPr>
          <w:cantSplit/>
        </w:trPr>
        <w:tc>
          <w:tcPr>
            <w:tcW w:type="dxa" w:w="6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Delayed: Windows 11 Pro (one-time, VDA separately)</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199</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 Metashape Professional (one-time)</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3 499</w:t>
            </w:r>
          </w:p>
        </w:tc>
      </w:tr>
      <w:tr>
        <w:trPr>
          <w:cantSplit/>
        </w:trPr>
        <w:tc>
          <w:tcPr>
            <w:tcW w:type="dxa" w:w="6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Deferred: Odoo Custom (per year)</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2 940–3 660</w:t>
            </w:r>
          </w:p>
        </w:tc>
      </w:tr>
      <w:tr>
        <w:trPr>
          <w:cantSplit/>
        </w:trPr>
        <w:tc>
          <w:tcPr>
            <w:tcW w:type="dxa" w:w="6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 Civil 3D (per year)</w:t>
            </w:r>
          </w:p>
        </w:tc>
        <w:tc>
          <w:tcPr>
            <w:tcW w:type="dxa" w:w="29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2 870–3 175</w:t>
            </w:r>
          </w:p>
        </w:tc>
      </w:tr>
      <w:tr>
        <w:trPr>
          <w:cantSplit/>
        </w:trPr>
        <w:tc>
          <w:tcPr>
            <w:tcW w:type="dxa" w:w="6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Deferred: Trimble Business Center (per year)</w:t>
            </w:r>
          </w:p>
        </w:tc>
        <w:tc>
          <w:tcPr>
            <w:tcW w:type="dxa" w:w="29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about 1,813</w:t>
            </w:r>
          </w:p>
        </w:tc>
      </w:tr>
    </w:tbl>
    <w:p>
      <w:pPr>
        <w:pStyle w:val="Heading2"/>
        <w:keepNext/>
      </w:pPr>
      <w:r>
        <w:t>24 Cloud site software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4200"/>
        <w:gridCol w:w="1238"/>
      </w:tblGrid>
      <w:tr>
        <w:trPr>
          <w:cantSplit/>
          <w:tblHeader/>
        </w:trPr>
        <w:tc>
          <w:tcPr>
            <w:tcW w:type="dxa" w:w="4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Software</w:t>
            </w:r>
          </w:p>
        </w:tc>
        <w:tc>
          <w:tcPr>
            <w:tcW w:type="dxa" w:w="4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w:t>
            </w:r>
          </w:p>
        </w:tc>
        <w:tc>
          <w:tcPr>
            <w:tcW w:type="dxa" w:w="1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Ubuntu Server 24.04, KVM/libvirt, Docker</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Cloud site, with the same design as the local site</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vLLM, a large level 2 LLM (e.g. gpt-oss-120b, ~60 GB)</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Reports, analysis, planning, code</w:t>
            </w:r>
          </w:p>
        </w:tc>
        <w:tc>
          <w:tcPr>
            <w:tcW w:type="dxa" w:w="1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Scripts and GPU switching schedule</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Windows VM by day; batch AI jobs at night</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B.</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Windows VM for Micromine 2016, Metashape Professional and, by default, Civil 3D and QGIS</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Engineering software, RDP access via WireGuard</w:t>
            </w:r>
          </w:p>
        </w:tc>
        <w:tc>
          <w:tcPr>
            <w:tcW w:type="dxa" w:w="1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B.</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Traccar</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Reception of telemetry trackers, replication to the site</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PostgreSQL, Qdrant, SeaweedFS replicas</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Emergency launch of services in the cloud</w:t>
            </w:r>
          </w:p>
        </w:tc>
        <w:tc>
          <w:tcPr>
            <w:tcW w:type="dxa" w:w="1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AD and DNS replicas</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Entry does not depend on one host</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Forgejo mirror, image registry and model-weight mirror</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Centralized storage; local copy remains on the site</w:t>
            </w:r>
          </w:p>
        </w:tc>
        <w:tc>
          <w:tcPr>
            <w:tcW w:type="dxa" w:w="1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Prometheus, Grafana, Alertmanager, external availability check</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Central monitoring outside the controlled machine</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Backup storage (SFTP or network folder), pgBackRest repository</w:t>
            </w:r>
          </w:p>
        </w:tc>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External copy of the critical set</w:t>
            </w:r>
          </w:p>
        </w:tc>
        <w:tc>
          <w:tcPr>
            <w:tcW w:type="dxa" w:w="1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 and B</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WireGuard hub</w:t>
            </w:r>
          </w:p>
        </w:tc>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Communication with the site and users</w:t>
            </w:r>
          </w:p>
        </w:tc>
        <w:tc>
          <w:tcPr>
            <w:tcW w:type="dxa" w:w="1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 and B</w:t>
            </w:r>
          </w:p>
        </w:tc>
      </w:tr>
    </w:tbl>
    <w:p>
      <w:pPr>
        <w:keepNext w:val="false"/>
        <w:spacing w:after="120" w:before="100" w:line="276"/>
        <w:jc w:val="left"/>
      </w:pPr>
      <w:r>
        <w:t>Budget cloud software licences separately, including Windows Server for the AD replica, Windows for the engineering VM and Acronis for cloud workloads. Company ownership of the cloud does not remove software licence costs.</w:t>
      </w:r>
    </w:p>
    <w:p>
      <w:pPr>
        <w:pStyle w:val="Heading1"/>
        <w:pageBreakBefore/>
      </w:pPr>
      <w:r>
        <w:t>Section III Allocation of functions between the local site and remote cloud</w:t>
      </w:r>
    </w:p>
    <w:p>
      <w:pPr>
        <w:pStyle w:val="Heading2"/>
        <w:keepNext/>
      </w:pPr>
      <w:r>
        <w:t>25 Allocation principle</w:t>
      </w:r>
    </w:p>
    <w:p>
      <w:pPr>
        <w:keepNext w:val="false"/>
        <w:spacing w:after="120" w:before="0" w:line="276"/>
        <w:jc w:val="left"/>
      </w:pPr>
      <w:r>
        <w:t>Keep functions at the local site when they must work offline, control equipment or generate more data than the link can carry. Assign latency-tolerant batch work and tasks that benefit from higher compute capacity or off-site placement to the cloud.</w:t>
      </w:r>
    </w:p>
    <w:p>
      <w:pPr>
        <w:keepNext/>
        <w:spacing w:after="120" w:before="0" w:line="276"/>
        <w:jc w:val="left"/>
      </w:pPr>
      <w:r>
        <w:t>Assess five characteristics for each function: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2400"/>
        <w:gridCol w:w="2538"/>
      </w:tblGrid>
      <w:tr>
        <w:trPr>
          <w:cantSplit/>
          <w:tblHeader/>
        </w:trPr>
        <w:tc>
          <w:tcPr>
            <w:tcW w:type="dxa" w:w="1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Factor</w:t>
            </w:r>
          </w:p>
        </w:tc>
        <w:tc>
          <w:tcPr>
            <w:tcW w:type="dxa" w:w="3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Question</w:t>
            </w:r>
          </w:p>
        </w:tc>
        <w:tc>
          <w:tcPr>
            <w:tcW w:type="dxa" w:w="2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Local site</w:t>
            </w:r>
          </w:p>
        </w:tc>
        <w:tc>
          <w:tcPr>
            <w:tcW w:type="dxa" w:w="25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Remote cloud</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Latency</w:t>
            </w:r>
          </w:p>
        </w:tc>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How long can the function wait for a response?</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Milliseconds, control</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Seconds or minutes; batch jobs</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Traffic volume</w:t>
            </w:r>
          </w:p>
        </w:tc>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Can this data stream pass over a 10 Mbit/s link?</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Videos, hundreds of GB</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Text, events, packages</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Autonomy</w:t>
            </w:r>
          </w:p>
        </w:tc>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Must it continue during a link outage?</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Safety, accounting and site access</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Analytics, reports.</w:t>
            </w:r>
          </w:p>
        </w:tc>
      </w:tr>
      <w:tr>
        <w:trPr>
          <w:cantSplit/>
        </w:trPr>
        <w:tc>
          <w:tcPr>
            <w:tcW w:type="dxa" w:w="1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Sensitivity</w:t>
            </w:r>
          </w:p>
        </w:tc>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Can the data leave the site?</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Keep data local if transfer is prohibited</w:t>
            </w:r>
          </w:p>
        </w:tc>
        <w:tc>
          <w:tcPr>
            <w:tcW w:type="dxa" w:w="2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Send encrypted data only to an authorised company cloud</w:t>
            </w:r>
          </w:p>
        </w:tc>
      </w:tr>
      <w:tr>
        <w:trPr>
          <w:cantSplit/>
        </w:trPr>
        <w:tc>
          <w:tcPr>
            <w:tcW w:type="dxa" w:w="1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Security</w:t>
            </w:r>
          </w:p>
        </w:tc>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Does the function affect people or equipment?</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Yes, for example the VFD and Tool Gateway</w:t>
            </w:r>
          </w:p>
        </w:tc>
        <w:tc>
          <w:tcPr>
            <w:tcW w:type="dxa" w:w="2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No.</w:t>
            </w:r>
          </w:p>
        </w:tc>
      </w:tr>
    </w:tbl>
    <w:p>
      <w:pPr>
        <w:pStyle w:val="Heading2"/>
        <w:keepNext/>
      </w:pPr>
      <w:r>
        <w:t>26 Links and throughput</w:t>
      </w:r>
    </w:p>
    <w:p>
      <w:pPr>
        <w:keepNext w:val="false"/>
        <w:spacing w:after="120" w:before="0" w:line="276"/>
        <w:jc w:val="left"/>
      </w:pPr>
      <w:r>
        <w:t>The cloud has an Internet channel of at least 100 Mbit/s, and the site-cloud communication is limited to the site channel, 10 Mbit/s. About 75% of the speed is actually available: ~0.94MB/s (~81GB/day) on-site and ~9.4MB/s (~810GB/day) in the cloud. This means that heavy downloads from the Internet (weight models, images, updates) are performed in the cloud, and copied to the site at night or by physical media.</w:t>
      </w:r>
    </w:p>
    <w:p>
      <w:pPr>
        <w:pStyle w:val="Heading3"/>
        <w:keepNext/>
      </w:pPr>
      <w:r>
        <w:t>Site to cloud link at 10 Mbit/s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2300"/>
        <w:gridCol w:w="2300"/>
        <w:gridCol w:w="2138"/>
      </w:tblGrid>
      <w:tr>
        <w:trPr>
          <w:cantSplit/>
          <w:tblHeader/>
        </w:trPr>
        <w:tc>
          <w:tcPr>
            <w:tcW w:type="dxa" w:w="2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Data to transfer</w:t>
            </w:r>
          </w:p>
        </w:tc>
        <w:tc>
          <w:tcPr>
            <w:tcW w:type="dxa" w:w="2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Volume</w:t>
            </w:r>
          </w:p>
        </w:tc>
        <w:tc>
          <w:tcPr>
            <w:tcW w:type="dxa" w:w="2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Time</w:t>
            </w:r>
          </w:p>
        </w:tc>
        <w:tc>
          <w:tcPr>
            <w:tcW w:type="dxa" w:w="21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Conclusion</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Video from 6 cameras, main streams</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~48 Mbps continuously</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Cannot fit; 4.8 times the site link</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Only locally.</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Video for remote viewing (sub-stream)</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0.5–1 Mbps on camera</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upon request</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Permitted for 1-2 cameras</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Clips of events (10 s to 8 Mbps, ~10 MB)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 GB per day for 100 events</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Fits within the daily transfer window</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Send to the cloud</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Telemetry, metrics, logs.</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hundred Kbps</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Fits within the available link</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Send to the cloud</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LLM request with context up to 100,000 tokens</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~0.4MB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 fraction of a second of transfer time</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 is important, not volume.</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RDP Session to Windows VM in the Cloud</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2–5 Mbps constantly</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during work</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Takes up to half of the channel (option B)</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Metashape survey package</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~20 GB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~6 hours</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Transfer overnight</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30 GB of LLM weights</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30GB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~9 hours</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Copy from the cloud at night, store on NAS</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60 GB of LLM weights, such as gpt-oss-120b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60GB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~18 hours</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Copy from the cloud overnight and store on NAS</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Backup increment per day</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~20 GB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~6 hours</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At night, with speed limit.</w:t>
            </w:r>
          </w:p>
        </w:tc>
      </w:tr>
      <w:tr>
        <w:trPr>
          <w:cantSplit/>
        </w:trPr>
        <w:tc>
          <w:tcPr>
            <w:tcW w:type="dxa" w:w="2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Initial backup copy of 500 GB or 2 TB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500GB/2TB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~6 days / ~25 days</w:t>
            </w:r>
          </w:p>
        </w:tc>
        <w:tc>
          <w:tcPr>
            <w:tcW w:type="dxa" w:w="2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Physical disk</w:t>
            </w:r>
          </w:p>
        </w:tc>
      </w:tr>
      <w:tr>
        <w:trPr>
          <w:cantSplit/>
        </w:trPr>
        <w:tc>
          <w:tcPr>
            <w:tcW w:type="dxa" w:w="2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NAS in its entirety (~96 TB)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96 TB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over 3 years</w:t>
            </w:r>
          </w:p>
        </w:tc>
        <w:tc>
          <w:tcPr>
            <w:tcW w:type="dxa" w:w="2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Impossible.</w:t>
            </w:r>
          </w:p>
        </w:tc>
      </w:tr>
    </w:tbl>
    <w:p>
      <w:pPr>
        <w:pStyle w:val="Heading3"/>
        <w:keepNext/>
      </w:pPr>
      <w:r>
        <w:t>Cloud internet link at a minimum of 100 Mbit/s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800"/>
        <w:gridCol w:w="2300"/>
        <w:gridCol w:w="2238"/>
      </w:tblGrid>
      <w:tr>
        <w:trPr>
          <w:cantSplit/>
          <w:tblHeader/>
        </w:trPr>
        <w:tc>
          <w:tcPr>
            <w:tcW w:type="dxa" w:w="3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1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Volume</w:t>
            </w:r>
          </w:p>
        </w:tc>
        <w:tc>
          <w:tcPr>
            <w:tcW w:type="dxa" w:w="2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Time</w:t>
            </w:r>
          </w:p>
        </w:tc>
        <w:tc>
          <w:tcPr>
            <w:tcW w:type="dxa" w:w="2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Conclusion</w:t>
            </w:r>
          </w:p>
        </w:tc>
      </w:tr>
      <w:tr>
        <w:trPr>
          <w:cantSplit/>
        </w:trPr>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30 GB of LLM weights</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30GB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~53 minutes</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Download in the cloud</w:t>
            </w:r>
          </w:p>
        </w:tc>
      </w:tr>
      <w:tr>
        <w:trPr>
          <w:cantSplit/>
        </w:trPr>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60 GB of LLM weights</w:t>
            </w:r>
          </w:p>
        </w:tc>
        <w:tc>
          <w:tcPr>
            <w:tcW w:type="dxa" w:w="1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60GB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~1.8 hours</w:t>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Download in the cloud</w:t>
            </w:r>
          </w:p>
        </w:tc>
      </w:tr>
      <w:tr>
        <w:trPr>
          <w:cantSplit/>
        </w:trPr>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Large 500GB data package</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500GB</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~15 hours</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Can be downloaded overnight</w:t>
            </w:r>
          </w:p>
        </w:tc>
      </w:tr>
      <w:tr>
        <w:trPr>
          <w:cantSplit/>
        </w:trPr>
        <w:tc>
          <w:tcPr>
            <w:tcW w:type="dxa" w:w="3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2 TB data packet</w:t>
            </w:r>
          </w:p>
        </w:tc>
        <w:tc>
          <w:tcPr>
            <w:tcW w:type="dxa" w:w="1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2 TB</w:t>
            </w:r>
          </w:p>
        </w:tc>
        <w:tc>
          <w:tcPr>
            <w:tcW w:type="dxa" w:w="2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 2.5 days</w:t>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Feasible over approximately 2.5 days</w:t>
            </w:r>
          </w:p>
        </w:tc>
      </w:tr>
      <w:tr>
        <w:trPr>
          <w:cantSplit/>
        </w:trPr>
        <w:tc>
          <w:tcPr>
            <w:tcW w:type="dxa" w:w="3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Tracker intake and headquarters-user access</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tens of Mbps</w:t>
            </w:r>
          </w:p>
        </w:tc>
        <w:tc>
          <w:tcPr>
            <w:tcW w:type="dxa" w:w="2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constantly</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The cloud link has capacity for these loads</w:t>
            </w:r>
          </w:p>
        </w:tc>
      </w:tr>
    </w:tbl>
    <w:p>
      <w:pPr>
        <w:keepNext w:val="false"/>
        <w:spacing w:after="120" w:before="120" w:line="276"/>
        <w:jc w:val="left"/>
      </w:pPr>
      <w:r>
        <w:t>For interactive work, latency can matter more than transferred volume. Twenty sequential tool calls with 0.5 seconds of cloud latency add 10 seconds. Keep those chains local and invoke the cloud LLM in one larger step.</w:t>
      </w:r>
    </w:p>
    <w:p>
      <w:pPr>
        <w:pStyle w:val="Heading2"/>
        <w:keepNext/>
      </w:pPr>
      <w:r>
        <w:t>27 Overall allocation of functions</w:t>
      </w:r>
    </w:p>
    <w:p>
      <w:pPr>
        <w:keepNext w:val="false"/>
        <w:spacing w:after="120" w:before="0" w:line="276"/>
        <w:jc w:val="left"/>
      </w:pPr>
      <w:r>
        <w:t>The following tables show functions common to both options. The only difference is the location of the engineering Windows VM and how the GPU is used (section 28).</w:t>
      </w:r>
    </w:p>
    <w:p>
      <w:pPr>
        <w:pStyle w:val="Heading3"/>
        <w:keepNext/>
      </w:pPr>
      <w:r>
        <w:t>Functions retained at the local site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Function</w:t>
            </w:r>
          </w:p>
        </w:tc>
        <w:tc>
          <w:tcPr>
            <w:tcW w:type="dxa" w:w="5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Why locally</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Tool Gateway, PROFINET, VFD, agents and equipment control</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Safety and deterministic operation; the cloud must not issue equipment-control commands</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Video recording (Frigate) and real-time detection (DeepStream)</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 48 Mbit/s stream cannot pass over the site link. Send selected events and clips instead</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Agent workflows with chains of tool calls</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Repeated round trips accumulate latency</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AD, DNS, SSO, NAS, site monitoring (main copy)</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The site should live autonomously.</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Odoo: warehouse, shifts, on-site accounting</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Operations should not stop because of the channel.</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Local LLM level 1, embedding, OCR</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Always available, independent of the channel</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Micromine 2016, Metashape, Windows VM with GPU</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Option A: local site. Option B: cloud site</w:t>
            </w:r>
          </w:p>
        </w:tc>
      </w:tr>
    </w:tbl>
    <w:p>
      <w:pPr>
        <w:pStyle w:val="Heading3"/>
        <w:keepNext/>
      </w:pPr>
      <w:r>
        <w:t>Functions assigned to the cloud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5238"/>
      </w:tblGrid>
      <w:tr>
        <w:trPr>
          <w:cantSplit/>
          <w:tblHeader/>
        </w:trPr>
        <w:tc>
          <w:tcPr>
            <w:tcW w:type="dxa" w:w="4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Function</w:t>
            </w:r>
          </w:p>
        </w:tc>
        <w:tc>
          <w:tcPr>
            <w:tcW w:type="dxa" w:w="5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What the cloud gives</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Reception of tracker telemetry (Traccar)</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Always available address; trackers do not depend on the incoming site channel. VPS not needed</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Heavy LLM for reporting, analysis, planning, code</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Models that are not always needed on the site, on a separate GPU</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Fine-tuning with LoRA, quality evaluation, embedding updates and batch OCR of scans</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Schedule batch jobs at night without consuming the local GPU</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Central monitoring and external site accessibility check</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Monitoring outside the controlled machine</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Odoo: Finance and HR, Analytics, BI</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Does not require real-time operation at the local site</w:t>
            </w:r>
          </w:p>
        </w:tc>
      </w:tr>
      <w:tr>
        <w:trPr>
          <w:cantSplit/>
        </w:trPr>
        <w:tc>
          <w:tcPr>
            <w:tcW w:type="dxa" w:w="4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CI builds, master image registry and model-weight mirror</w:t>
            </w:r>
          </w:p>
        </w:tc>
        <w:tc>
          <w:tcPr>
            <w:tcW w:type="dxa" w:w="5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Central storage with a local copy at the site</w:t>
            </w:r>
          </w:p>
        </w:tc>
      </w:tr>
      <w:tr>
        <w:trPr>
          <w:cantSplit/>
        </w:trPr>
        <w:tc>
          <w:tcPr>
            <w:tcW w:type="dxa" w:w="4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External backup of a critical set</w:t>
            </w:r>
          </w:p>
        </w:tc>
        <w:tc>
          <w:tcPr>
            <w:tcW w:type="dxa" w:w="5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Company control addresses third-party trust; the site link remains the transfer bottleneck</w:t>
            </w:r>
          </w:p>
        </w:tc>
      </w:tr>
    </w:tbl>
    <w:p>
      <w:pPr>
        <w:pStyle w:val="Heading3"/>
        <w:keepNext/>
      </w:pPr>
      <w:r>
        <w:t>Functions replicated between sites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600"/>
        <w:gridCol w:w="3438"/>
      </w:tblGrid>
      <w:tr>
        <w:trPr>
          <w:cantSplit/>
          <w:tblHeader/>
        </w:trPr>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Replicated data</w:t>
            </w:r>
          </w:p>
        </w:tc>
        <w:tc>
          <w:tcPr>
            <w:tcW w:type="dxa" w:w="3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Method</w:t>
            </w:r>
          </w:p>
        </w:tc>
        <w:tc>
          <w:tcPr>
            <w:tcW w:type="dxa" w:w="34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Purpose</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AD and DNS</w:t>
            </w:r>
          </w:p>
        </w:tc>
        <w:tc>
          <w:tcPr>
            <w:tcW w:type="dxa" w:w="3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Replica in the cloud</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Entry does not depend on one host</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PostgreSQL, Qdrant</w:t>
            </w:r>
          </w:p>
        </w:tc>
        <w:tc>
          <w:tcPr>
            <w:tcW w:type="dxa" w:w="3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Logical replication with store-and-forward delivery</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Emergency launch of services in the cloud</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SeaweedFS</w:t>
            </w:r>
          </w:p>
        </w:tc>
        <w:tc>
          <w:tcPr>
            <w:tcW w:type="dxa" w:w="3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Intersite replication of selected data</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Data available in the cloud</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Forgejo, Vaultwarden</w:t>
            </w:r>
          </w:p>
        </w:tc>
        <w:tc>
          <w:tcPr>
            <w:tcW w:type="dxa" w:w="3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Mirror or backup copy</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Keep code and approved secrets available after a site incident</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Redpanda</w:t>
            </w:r>
          </w:p>
        </w:tc>
        <w:tc>
          <w:tcPr>
            <w:tcW w:type="dxa" w:w="3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Two-way event exchange with defined ownership</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Telemetry and events on both sides</w:t>
            </w:r>
          </w:p>
        </w:tc>
      </w:tr>
    </w:tbl>
    <w:p>
      <w:pPr>
        <w:pStyle w:val="Heading2"/>
        <w:keepNext/>
      </w:pPr>
      <w:r>
        <w:t>28 Two options for local AI and engineering software</w:t>
      </w:r>
    </w:p>
    <w:p>
      <w:pPr>
        <w:keepNext w:val="false"/>
        <w:spacing w:after="120" w:before="0" w:line="276"/>
        <w:jc w:val="left"/>
      </w:pPr>
      <w:r>
        <w:t>The options differ in where Micromine and Metashape run and how the site's GPU is used. The other functions in section 27 remain allocated in the same way.</w:t>
      </w:r>
    </w:p>
    <w:p>
      <w:pPr>
        <w:pStyle w:val="Heading3"/>
        <w:keepNext/>
      </w:pPr>
      <w:r>
        <w:t>28.1 Option A engineering software at the local site</w:t>
      </w:r>
    </w:p>
    <w:p>
      <w:pPr>
        <w:pStyle w:val="ListParagraph"/>
        <w:numPr>
          <w:ilvl w:val="0"/>
          <w:numId w:val="2"/>
        </w:numPr>
        <w:spacing w:after="60" w:line="276"/>
      </w:pPr>
      <w:r>
        <w:t>Micromine 2016, Metashape after purchase, Civil 3D and QGIS run in a Windows 11 VM on PROTO-01. GPU passthrough to the VM is enabled when required.</w:t>
      </w:r>
    </w:p>
    <w:p>
      <w:pPr>
        <w:pStyle w:val="ListParagraph"/>
        <w:numPr>
          <w:ilvl w:val="0"/>
          <w:numId w:val="2"/>
        </w:numPr>
        <w:spacing w:after="60" w:line="276"/>
      </w:pPr>
      <w:r>
        <w:t>While engineers use the GPU, vLLM, DeepStream and other GPU containers stop. Frigate continues recording video without the GPU, but GPU-based detection is unavailable.</w:t>
      </w:r>
    </w:p>
    <w:p>
      <w:pPr>
        <w:pStyle w:val="ListParagraph"/>
        <w:numPr>
          <w:ilvl w:val="0"/>
          <w:numId w:val="2"/>
        </w:numPr>
        <w:spacing w:after="60" w:line="276"/>
      </w:pPr>
      <w:r>
        <w:t>Level 2 AI runs in the cloud around the clock; a cloud GPU is not occupied by Windows VM.</w:t>
      </w:r>
    </w:p>
    <w:p>
      <w:pPr>
        <w:pStyle w:val="ListParagraph"/>
        <w:numPr>
          <w:ilvl w:val="0"/>
          <w:numId w:val="2"/>
        </w:numPr>
        <w:spacing w:after="60" w:line="276"/>
      </w:pPr>
      <w:r>
        <w:t>The engineering work does not depend on the channel; the geology and survey data remain on the site, a copy of the critical set goes to the cloud.</w:t>
      </w:r>
    </w:p>
    <w:p>
      <w:pPr>
        <w:pStyle w:val="ListParagraph"/>
        <w:numPr>
          <w:ilvl w:val="0"/>
          <w:numId w:val="2"/>
        </w:numPr>
        <w:spacing w:after="60" w:line="276"/>
      </w:pPr>
      <w:r>
        <w:t>Risks: GPU reset during VFIO (reset) on Blackwell, AI level 1 interruption when engineers work, Micromine 2016 compatibility with Windows 11.</w:t>
      </w:r>
    </w:p>
    <w:p>
      <w:pPr>
        <w:pStyle w:val="Heading3"/>
        <w:keepNext/>
      </w:pPr>
      <w:r>
        <w:t>28.2 Option B Micromine and Metashape in the cloud</w:t>
      </w:r>
    </w:p>
    <w:p>
      <w:pPr>
        <w:pStyle w:val="ListParagraph"/>
        <w:numPr>
          <w:ilvl w:val="0"/>
          <w:numId w:val="2"/>
        </w:numPr>
        <w:spacing w:after="60" w:line="276"/>
      </w:pPr>
      <w:r>
        <w:t>Under Option B, Micromine 2016 and Metashape Professional licences are placed at the remote site if vendor terms allow it. The Windows VM with those applications, and by default Civil 3D and QGIS, runs in the cloud.</w:t>
      </w:r>
    </w:p>
    <w:p>
      <w:pPr>
        <w:pStyle w:val="ListParagraph"/>
        <w:numPr>
          <w:ilvl w:val="0"/>
          <w:numId w:val="2"/>
        </w:numPr>
        <w:spacing w:after="60" w:line="276"/>
      </w:pPr>
      <w:r>
        <w:t>Engineers connect via RDP via WireGuard; one session takes 2-5 Mbps, that is, up to half the site channel.</w:t>
      </w:r>
    </w:p>
    <w:p>
      <w:pPr>
        <w:pStyle w:val="ListParagraph"/>
        <w:numPr>
          <w:ilvl w:val="0"/>
          <w:numId w:val="2"/>
        </w:numPr>
        <w:spacing w:after="60" w:line="276"/>
      </w:pPr>
      <w:r>
        <w:t>The local GPU remains assigned to level 1 AI without switching. The available capacity and uninterrupted operation support longer context, more agents and continuous computer vision.</w:t>
      </w:r>
    </w:p>
    <w:p>
      <w:pPr>
        <w:pStyle w:val="ListParagraph"/>
        <w:numPr>
          <w:ilvl w:val="0"/>
          <w:numId w:val="2"/>
        </w:numPr>
        <w:spacing w:after="60" w:line="276"/>
      </w:pPr>
      <w:r>
        <w:t>The cloud GPU follows a schedule: Windows VM by day; batch level 2 LLM jobs by night (section 28.5).</w:t>
      </w:r>
    </w:p>
    <w:p>
      <w:pPr>
        <w:pStyle w:val="ListParagraph"/>
        <w:numPr>
          <w:ilvl w:val="0"/>
          <w:numId w:val="2"/>
        </w:numPr>
        <w:spacing w:after="60" w:line="276"/>
      </w:pPr>
      <w:r>
        <w:t>The primary copy of geological and survey data resides in the cloud. Local exports remain at the site for work during a link outage.</w:t>
      </w:r>
    </w:p>
    <w:p>
      <w:pPr>
        <w:pStyle w:val="ListParagraph"/>
        <w:numPr>
          <w:ilvl w:val="0"/>
          <w:numId w:val="2"/>
        </w:numPr>
        <w:spacing w:after="60" w:line="276"/>
      </w:pPr>
      <w:r>
        <w:t>Prerequisites: vendor terms permit cloud placement of the licences and keys; Micromine 2016 works on cloud-hosted Windows; and measured link availability and latency support RDP.</w:t>
      </w:r>
    </w:p>
    <w:p>
      <w:pPr>
        <w:pStyle w:val="ListParagraph"/>
        <w:numPr>
          <w:ilvl w:val="0"/>
          <w:numId w:val="2"/>
        </w:numPr>
        <w:spacing w:after="60" w:line="276"/>
      </w:pPr>
      <w:r>
        <w:t>Risk: When the channel breaks, work in Micromine and Metashape stops.</w:t>
      </w:r>
    </w:p>
    <w:p>
      <w:pPr>
        <w:pStyle w:val="Heading3"/>
        <w:keepNext/>
      </w:pPr>
      <w:r>
        <w:t>28.3 Comparison of options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200"/>
        <w:gridCol w:w="3438"/>
      </w:tblGrid>
      <w:tr>
        <w:trPr>
          <w:cantSplit/>
          <w:tblHeader/>
        </w:trPr>
        <w:tc>
          <w:tcPr>
            <w:tcW w:type="dxa" w:w="3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Criterion</w:t>
            </w:r>
          </w:p>
        </w:tc>
        <w:tc>
          <w:tcPr>
            <w:tcW w:type="dxa" w:w="3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A</w:t>
            </w:r>
          </w:p>
        </w:tc>
        <w:tc>
          <w:tcPr>
            <w:tcW w:type="dxa" w:w="34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B</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Where Micromine and Metashape Licenses</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Local site</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Cloud site, subject to licence terms</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GPU</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Shared between the Windows VM and AI, with switching</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Dedicated to level 1 AI without switching</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GPU cloud</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Level 2 AI around the clock</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Windows VM by day; level 2 AI by night</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Engineering work at the break of the channel</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Continues</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Stops</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Channel load of 10 Mbps</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Data stays on site</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RDP 2–5 Mbit/s during operation; packet loading</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Level 1 AI on the site</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Interrupted for the duration of Windows VM</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Runs continuously, leaving capacity for context and agents</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Main risks</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VFIO reset, AI interrupts, Micromine 2016 on Windows 11</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Transfer of licenses, Micromine 2016 in the cloud, latency and channel availability</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Local-site CAPEX</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No change.</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Unchanged (GPU remains unchanged)</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Site OPEX</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Acronis on three workloads</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Acronis on two workloads, approximately USD 85–109 less per year</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Cloud load</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Lower</w:t>
            </w:r>
          </w:p>
        </w:tc>
        <w:tc>
          <w:tcPr>
            <w:tcW w:type="dxa" w:w="34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Higher: scheduled GPU and Micromine data storage, excluded from this budget</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Complexity of operation</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Switching the GPU on the host</w:t>
            </w:r>
          </w:p>
        </w:tc>
        <w:tc>
          <w:tcPr>
            <w:tcW w:type="dxa" w:w="34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Switching the GPU in the cloud on schedule, licenses</w:t>
            </w:r>
          </w:p>
        </w:tc>
      </w:tr>
    </w:tbl>
    <w:p>
      <w:pPr>
        <w:pStyle w:val="Heading3"/>
        <w:keepNext/>
      </w:pPr>
      <w:r>
        <w:t>28.4 Recommendation and selection conditions</w:t>
      </w:r>
    </w:p>
    <w:p>
      <w:pPr>
        <w:keepNext w:val="false"/>
        <w:spacing w:after="120" w:before="0" w:line="276"/>
        <w:jc w:val="left"/>
      </w:pPr>
      <w:r>
        <w:t>Option A is the baseline recommendation for stages 0 and 1 because it does not depend on the link or licence transfer. Select Option B only after all three checks below have been completed successfully:</w:t>
      </w:r>
    </w:p>
    <w:p>
      <w:pPr>
        <w:pStyle w:val="ListParagraph"/>
        <w:numPr>
          <w:ilvl w:val="0"/>
          <w:numId w:val="3"/>
        </w:numPr>
        <w:spacing w:after="60" w:line="276"/>
      </w:pPr>
      <w:r>
        <w:t>Micromine and Agisoft have provided written confirmation of cloud licence terms, including key type and any USB-dongle requirements.</w:t>
      </w:r>
    </w:p>
    <w:p>
      <w:pPr>
        <w:pStyle w:val="ListParagraph"/>
        <w:numPr>
          <w:ilvl w:val="0"/>
          <w:numId w:val="3"/>
        </w:numPr>
        <w:spacing w:after="60" w:line="276"/>
      </w:pPr>
      <w:r>
        <w:t>Two weeks of link measurements demonstrate acceptable working-hour availability and RDP latency.</w:t>
      </w:r>
    </w:p>
    <w:p>
      <w:pPr>
        <w:pStyle w:val="ListParagraph"/>
        <w:numPr>
          <w:ilvl w:val="0"/>
          <w:numId w:val="3"/>
        </w:numPr>
        <w:spacing w:after="60" w:line="276"/>
      </w:pPr>
      <w:r>
        <w:t>Micromine 2016 has passed a cloud Windows test, and an RDP session has passed a test over the 10 Mbit/s site link.</w:t>
      </w:r>
    </w:p>
    <w:p>
      <w:pPr>
        <w:keepNext w:val="false"/>
        <w:spacing w:after="120" w:before="100" w:line="276"/>
        <w:jc w:val="left"/>
      </w:pPr>
      <w:r>
        <w:t>If any condition is not met, retain Option A. Option B removes local VFIO reset risk and frees the site's GPU for continuous AI work.</w:t>
      </w:r>
    </w:p>
    <w:p>
      <w:pPr>
        <w:pStyle w:val="Heading3"/>
        <w:keepNext/>
      </w:pPr>
      <w:r>
        <w:t>28.5 Cloud GPU schedule under Option 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800"/>
        <w:gridCol w:w="2838"/>
      </w:tblGrid>
      <w:tr>
        <w:trPr>
          <w:cantSplit/>
          <w:tblHeader/>
        </w:trPr>
        <w:tc>
          <w:tcPr>
            <w:tcW w:type="dxa" w:w="3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Window</w:t>
            </w:r>
          </w:p>
        </w:tc>
        <w:tc>
          <w:tcPr>
            <w:tcW w:type="dxa" w:w="3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Purpose of the GPU</w:t>
            </w:r>
          </w:p>
        </w:tc>
        <w:tc>
          <w:tcPr>
            <w:tcW w:type="dxa" w:w="28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Note</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Working hours (configured)</w:t>
            </w:r>
          </w:p>
        </w:tc>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VM with Micromine and Metashape</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Level 2 LLM tasks are suspended or go to CPUs</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Night, scheduled</w:t>
            </w:r>
          </w:p>
        </w:tc>
        <w:tc>
          <w:tcPr>
            <w:tcW w:type="dxa" w:w="3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Batch LLM jobs: fine-tuning, recalculation of embeddings and OCR</w:t>
            </w:r>
          </w:p>
        </w:tc>
        <w:tc>
          <w:tcPr>
            <w:tcW w:type="dxa" w:w="28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Engineering tasks should not be delayed overnight</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On request</w:t>
            </w:r>
          </w:p>
        </w:tc>
        <w:tc>
          <w:tcPr>
            <w:tcW w:type="dxa" w:w="3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Unscheduled switching</w:t>
            </w:r>
          </w:p>
        </w:tc>
        <w:tc>
          <w:tcPr>
            <w:tcW w:type="dxa" w:w="28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Use a script with operator confirmation</w:t>
            </w:r>
          </w:p>
        </w:tc>
      </w:tr>
    </w:tbl>
    <w:p>
      <w:pPr>
        <w:pStyle w:val="Heading2"/>
        <w:keepNext/>
      </w:pPr>
      <w:r>
        <w:t>29 Model allocation</w:t>
      </w:r>
    </w:p>
    <w:p>
      <w:pPr>
        <w:keepNext w:val="false"/>
        <w:spacing w:after="120" w:before="0" w:line="276"/>
        <w:jc w:val="left"/>
      </w:pPr>
      <w:r>
        <w:t>The models are divided into two levels. Level 1 is on-site and should always be available. Level 2 works in the cloud for heavy and non-urgent tasks. The cloud configuration is no worse than the site, that is, one card accounts for 96 GB of VRAM.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5638"/>
        <w:gridCol w:w="1800"/>
      </w:tblGrid>
      <w:tr>
        <w:trPr>
          <w:cantSplit/>
          <w:tblHeader/>
        </w:trPr>
        <w:tc>
          <w:tcPr>
            <w:tcW w:type="dxa" w:w="9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Level</w:t>
            </w:r>
          </w:p>
        </w:tc>
        <w:tc>
          <w:tcPr>
            <w:tcW w:type="dxa" w:w="13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Location</w:t>
            </w:r>
          </w:p>
        </w:tc>
        <w:tc>
          <w:tcPr>
            <w:tcW w:type="dxa" w:w="56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Models and assignment</w:t>
            </w:r>
          </w:p>
        </w:tc>
        <w:tc>
          <w:tcPr>
            <w:tcW w:type="dxa" w:w="1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rPr>
                <w:rFonts w:ascii="Arial" w:cs="Arial" w:eastAsia="Arial" w:hAnsi="Arial"/>
                <w:b/>
                <w:bCs/>
                <w:color w:val="FFFFFF"/>
                <w:sz w:val="17"/>
                <w:szCs w:val="17"/>
              </w:rPr>
              <w:t xml:space="preserve">VRAM</w:t>
            </w:r>
          </w:p>
        </w:tc>
      </w:tr>
      <w:tr>
        <w:trPr>
          <w:cantSplit/>
        </w:trPr>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Local site</w:t>
            </w:r>
          </w:p>
        </w:tc>
        <w:tc>
          <w:tcPr>
            <w:tcW w:type="dxa" w:w="5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Qwen3-30B-A3B-Instruct-2507 in FP8 for tool calls, document responses, alerts and operator assistance</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~55-60% of 96 GB</w:t>
            </w:r>
          </w:p>
        </w:tc>
      </w:tr>
      <w:tr>
        <w:trPr>
          <w:cantSplit/>
        </w:trPr>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Local site</w:t>
            </w:r>
          </w:p>
        </w:tc>
        <w:tc>
          <w:tcPr>
            <w:tcW w:type="dxa" w:w="5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Qwen3-Embedding 4B and Qwen3-Reranker 4B with Qdrant</w:t>
            </w:r>
          </w:p>
        </w:tc>
        <w:tc>
          <w:tcPr>
            <w:tcW w:type="dxa" w:w="1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~16GB (estimate)</w:t>
            </w:r>
          </w:p>
        </w:tc>
      </w:tr>
      <w:tr>
        <w:trPr>
          <w:cantSplit/>
        </w:trPr>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Local site</w:t>
            </w:r>
          </w:p>
        </w:tc>
        <w:tc>
          <w:tcPr>
            <w:tcW w:type="dxa" w:w="5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Docling, PaddleOCR; CV models for cameras</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leftover ~25GB</w:t>
            </w:r>
          </w:p>
        </w:tc>
      </w:tr>
      <w:tr>
        <w:trPr>
          <w:cantSplit/>
        </w:trPr>
        <w:tc>
          <w:tcPr>
            <w:tcW w:type="dxa" w:w="9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3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Cloud</w:t>
            </w:r>
          </w:p>
        </w:tc>
        <w:tc>
          <w:tcPr>
            <w:tcW w:type="dxa" w:w="5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Large models for reporting, analysis, planning and code (e.g. gpt-oss-120b, ~60 GB in compressed form)</w:t>
            </w:r>
          </w:p>
        </w:tc>
        <w:tc>
          <w:tcPr>
            <w:tcW w:type="dxa" w:w="1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GPU card</w:t>
            </w:r>
          </w:p>
        </w:tc>
      </w:tr>
      <w:tr>
        <w:trPr>
          <w:cantSplit/>
        </w:trPr>
        <w:tc>
          <w:tcPr>
            <w:tcW w:type="dxa" w:w="9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13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Cloud</w:t>
            </w:r>
          </w:p>
        </w:tc>
        <w:tc>
          <w:tcPr>
            <w:tcW w:type="dxa" w:w="5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Fine-tuning with LoRA, quality evaluation, refreshed embeddings and batch OCR</w:t>
            </w:r>
          </w:p>
        </w:tc>
        <w:tc>
          <w:tcPr>
            <w:tcW w:type="dxa" w:w="1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Full GPU card overnight</w:t>
            </w:r>
          </w:p>
        </w:tc>
      </w:tr>
    </w:tbl>
    <w:p>
      <w:pPr>
        <w:pStyle w:val="Heading3"/>
        <w:keepNext/>
      </w:pPr>
      <w:r>
        <w:t>GPU use under each option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3738"/>
      </w:tblGrid>
      <w:tr>
        <w:trPr>
          <w:cantSplit/>
          <w:tblHeader/>
        </w:trPr>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rPr>
                <w:rFonts w:ascii="Arial" w:cs="Arial" w:eastAsia="Arial" w:hAnsi="Arial"/>
                <w:b/>
                <w:bCs/>
                <w:color w:val="FFFFFF"/>
                <w:sz w:val="17"/>
                <w:szCs w:val="17"/>
              </w:rPr>
              <w:t xml:space="preserve"/>
            </w:r>
          </w:p>
        </w:tc>
        <w:tc>
          <w:tcPr>
            <w:tcW w:type="dxa" w:w="37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A</w:t>
            </w:r>
          </w:p>
        </w:tc>
        <w:tc>
          <w:tcPr>
            <w:tcW w:type="dxa" w:w="37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B</w:t>
            </w:r>
          </w:p>
        </w:tc>
      </w:tr>
      <w:tr>
        <w:trPr>
          <w:cantSplit/>
        </w:trPr>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Local GPU</w:t>
            </w:r>
          </w:p>
        </w:tc>
        <w:tc>
          <w:tcPr>
            <w:tcW w:type="dxa" w:w="37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Level 1 uses nearly all 96 GB. It stops while the Windows VM has the GPU</w:t>
            </w:r>
          </w:p>
        </w:tc>
        <w:tc>
          <w:tcPr>
            <w:tcW w:type="dxa" w:w="37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Level 1 runs continuously. Capacity supports longer context and more concurrent agents, to be quantified in a pilot</w:t>
            </w:r>
          </w:p>
        </w:tc>
      </w:tr>
      <w:tr>
        <w:trPr>
          <w:cantSplit/>
        </w:trPr>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Cloud GPU</w:t>
            </w:r>
          </w:p>
        </w:tc>
        <w:tc>
          <w:tcPr>
            <w:tcW w:type="dxa" w:w="37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Level 2 around the clock</w:t>
            </w:r>
          </w:p>
        </w:tc>
        <w:tc>
          <w:tcPr>
            <w:tcW w:type="dxa" w:w="37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Windows VM by day; level 2 by night</w:t>
            </w:r>
          </w:p>
        </w:tc>
      </w:tr>
    </w:tbl>
    <w:p>
      <w:pPr>
        <w:keepNext w:val="false"/>
        <w:spacing w:after="120" w:before="120" w:line="276"/>
        <w:jc w:val="left"/>
      </w:pPr>
      <w:r>
        <w:t>Level 1 VRAM estimate: approximately 55 GB for the LLM, including FP8 weights and KV cache; 16 GB for embeddings and reranking; and 25 GB for OCR, DeepStream and computer vision. Together they use nearly all of a 96 GB card. A smaller local GPU would require a reduced level 1 workload.</w:t>
      </w:r>
    </w:p>
    <w:p>
      <w:pPr>
        <w:keepNext w:val="false"/>
        <w:spacing w:after="120" w:before="0" w:line="276"/>
        <w:jc w:val="left"/>
      </w:pPr>
      <w:r>
        <w:t>A single 96 GB card can host compressed models up to approximately 120B parameters. A 235B-class model needs a second cloud GPU. If the actual cloud configuration is smaller than assumed, reduce the level 2 workload rather than changing the overall allocation of functions.</w:t>
      </w:r>
    </w:p>
    <w:p>
      <w:pPr>
        <w:pStyle w:val="Heading2"/>
        <w:keepNext/>
      </w:pPr>
      <w:r>
        <w:t>30 Hybrid operating patterns</w:t>
      </w:r>
    </w:p>
    <w:p>
      <w:pPr>
        <w:pStyle w:val="ListParagraph"/>
        <w:numPr>
          <w:ilvl w:val="0"/>
          <w:numId w:val="2"/>
        </w:numPr>
        <w:spacing w:after="60" w:line="276"/>
      </w:pPr>
      <w:r>
        <w:t>Route simple or urgent LLM requests to the local model and complex, non-urgent requests to the cloud. On a link outage, fall back to the local model and label the result as a simplified response.</w:t>
      </w:r>
    </w:p>
    <w:p>
      <w:pPr>
        <w:pStyle w:val="ListParagraph"/>
        <w:numPr>
          <w:ilvl w:val="0"/>
          <w:numId w:val="2"/>
        </w:numPr>
        <w:spacing w:after="60" w:line="276"/>
      </w:pPr>
      <w:r>
        <w:t>Queue long-running jobs and return their results later; do not keep a connection open throughout processing.</w:t>
      </w:r>
    </w:p>
    <w:p>
      <w:pPr>
        <w:pStyle w:val="ListParagraph"/>
        <w:numPr>
          <w:ilvl w:val="0"/>
          <w:numId w:val="2"/>
        </w:numPr>
        <w:spacing w:after="60" w:line="276"/>
      </w:pPr>
      <w:r>
        <w:t>Send derived information, such as descriptions, embeddings and metadata, instead of raw video and large files when sufficient for the task.</w:t>
      </w:r>
    </w:p>
    <w:p>
      <w:pPr>
        <w:pStyle w:val="ListParagraph"/>
        <w:numPr>
          <w:ilvl w:val="0"/>
          <w:numId w:val="2"/>
        </w:numPr>
        <w:spacing w:after="60" w:line="276"/>
      </w:pPr>
      <w:r>
        <w:t>Use Redpanda and PostgreSQL logical replication with store-and-forward delivery. Assign one authoritative writer for each dataset to avoid divergence.</w:t>
      </w:r>
    </w:p>
    <w:p>
      <w:pPr>
        <w:pStyle w:val="ListParagraph"/>
        <w:numPr>
          <w:ilvl w:val="0"/>
          <w:numId w:val="2"/>
        </w:numPr>
        <w:spacing w:after="60" w:line="276"/>
      </w:pPr>
      <w:r>
        <w:t>The local site is authoritative for operational data; the cloud is authoritative for analytics and backup copies.</w:t>
      </w:r>
    </w:p>
    <w:p>
      <w:pPr>
        <w:pStyle w:val="ListParagraph"/>
        <w:numPr>
          <w:ilvl w:val="0"/>
          <w:numId w:val="2"/>
        </w:numPr>
        <w:spacing w:after="60" w:line="276"/>
      </w:pPr>
      <w:r>
        <w:t>Download model weights and images to the cloud, then copy them to the local NAS overnight. Keep local mirrors so a new model test does not consume the site link for half a day.</w:t>
      </w:r>
    </w:p>
    <w:p>
      <w:pPr>
        <w:pStyle w:val="Heading2"/>
        <w:keepNext/>
      </w:pPr>
      <w:r>
        <w:t>31 Backup and failover</w:t>
      </w:r>
    </w:p>
    <w:p>
      <w:pPr>
        <w:keepNext w:val="false"/>
        <w:spacing w:after="120" w:before="0" w:line="276"/>
        <w:jc w:val="left"/>
      </w:pPr>
      <w:r>
        <w:t>Back up only the critical dataset to the company cloud. Restoring an entire 96 TB site over this link would take more than three years. Emergency operation therefore starts critical services in the cloud from replicas.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2200"/>
        <w:gridCol w:w="3238"/>
      </w:tblGrid>
      <w:tr>
        <w:trPr>
          <w:cantSplit/>
          <w:tblHeader/>
        </w:trPr>
        <w:tc>
          <w:tcPr>
            <w:tcW w:type="dxa" w:w="4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Copy to the cloud</w:t>
            </w:r>
          </w:p>
        </w:tc>
        <w:tc>
          <w:tcPr>
            <w:tcW w:type="dxa" w:w="3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Method</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Dumps, pgBackRest, configuration, Ansible</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Yes.</w:t>
            </w:r>
          </w:p>
        </w:tc>
        <w:tc>
          <w:tcPr>
            <w:tcW w:type="dxa" w:w="3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Rate-limited overnight increment</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Forgejo, Vaultwarden, AD</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Yes.</w:t>
            </w:r>
          </w:p>
        </w:tc>
        <w:tc>
          <w:tcPr>
            <w:tcW w:type="dxa" w:w="3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Mirror or backup copy</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Documents, SeaweedFS data, Micromine data</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Selectively</w:t>
            </w:r>
          </w:p>
        </w:tc>
        <w:tc>
          <w:tcPr>
            <w:tcW w:type="dxa" w:w="3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According to the approved policy, encrypted</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Video archive and raw footage</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No.</w:t>
            </w:r>
          </w:p>
        </w:tc>
        <w:tc>
          <w:tcPr>
            <w:tcW w:type="dxa" w:w="3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Does not pass through the channel, stays on the NAS</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NAS</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No.</w:t>
            </w:r>
          </w:p>
        </w:tc>
        <w:tc>
          <w:tcPr>
            <w:tcW w:type="dxa" w:w="3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~96 TB, more than 3 years of transmission</w:t>
            </w:r>
          </w:p>
        </w:tc>
      </w:tr>
    </w:tbl>
    <w:p>
      <w:pPr>
        <w:keepNext w:val="false"/>
        <w:spacing w:after="120" w:before="120" w:line="276"/>
        <w:jc w:val="left"/>
      </w:pPr>
      <w:r>
        <w:t>Transfer an initial dataset of 500 GB or more on a physical drive, followed by rate-limited overnight increments. Confirm whether Acronis can send copies to company storage by network share or SFTP. Keep an offline external-SSD copy as the third copy in the 3-2-1 scheme.</w:t>
      </w:r>
    </w:p>
    <w:p>
      <w:pPr>
        <w:pStyle w:val="Heading2"/>
        <w:keepNext/>
      </w:pPr>
      <w:r>
        <w:t>32 Allocation of the site link</w:t>
      </w:r>
    </w:p>
    <w:p>
      <w:pPr>
        <w:keepNext w:val="false"/>
        <w:spacing w:after="120" w:before="0" w:line="276"/>
        <w:jc w:val="left"/>
      </w:pPr>
      <w:r>
        <w:t>Reserve a guaranteed, highest-priority share of the link for control and telemetry. Schedule bulk transfer overnight with a rate limit, using QoS queues on the MikroTik RB5009.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200"/>
        <w:gridCol w:w="3638"/>
      </w:tblGrid>
      <w:tr>
        <w:trPr>
          <w:cantSplit/>
          <w:tblHeader/>
        </w:trPr>
        <w:tc>
          <w:tcPr>
            <w:tcW w:type="dxa" w:w="28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Traffic class</w:t>
            </w:r>
          </w:p>
        </w:tc>
        <w:tc>
          <w:tcPr>
            <w:tcW w:type="dxa" w:w="3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A</w:t>
            </w:r>
          </w:p>
        </w:tc>
        <w:tc>
          <w:tcPr>
            <w:tcW w:type="dxa" w:w="36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Option B</w:t>
            </w:r>
          </w:p>
        </w:tc>
      </w:tr>
      <w:tr>
        <w:trPr>
          <w:cantSplit/>
        </w:trPr>
        <w:tc>
          <w:tcPr>
            <w:tcW w:type="dxa" w:w="2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Control and telemetry</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1-2 Mbps, highest priority</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1-2 Mbps, highest priority</w:t>
            </w:r>
          </w:p>
        </w:tc>
      </w:tr>
      <w:tr>
        <w:trPr>
          <w:cantSplit/>
        </w:trPr>
        <w:tc>
          <w:tcPr>
            <w:tcW w:type="dxa" w:w="2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Interactive</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3-4 Mbps: Cloud LLM, Odoo calls</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3-5 Mbps for RDP during working hours plus 1-2 Mbps for LLM and Odoo calls</w:t>
            </w:r>
          </w:p>
        </w:tc>
      </w:tr>
      <w:tr>
        <w:trPr>
          <w:cantSplit/>
        </w:trPr>
        <w:tc>
          <w:tcPr>
            <w:tcW w:type="dxa" w:w="28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Video for remote viewing</w:t>
            </w:r>
          </w:p>
        </w:tc>
        <w:tc>
          <w:tcPr>
            <w:tcW w:type="dxa" w:w="3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up to 1-2 Mbps, upon request</w:t>
            </w:r>
          </w:p>
        </w:tc>
        <w:tc>
          <w:tcPr>
            <w:tcW w:type="dxa" w:w="3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Up to 1 Mbps or off during RDP hours</w:t>
            </w:r>
          </w:p>
        </w:tc>
      </w:tr>
      <w:tr>
        <w:trPr>
          <w:cantSplit/>
        </w:trPr>
        <w:tc>
          <w:tcPr>
            <w:tcW w:type="dxa" w:w="28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Bulk transfer</w:t>
            </w:r>
          </w:p>
        </w:tc>
        <w:tc>
          <w:tcPr>
            <w:tcW w:type="dxa" w:w="3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Overnight</w:t>
            </w:r>
          </w:p>
        </w:tc>
        <w:tc>
          <w:tcPr>
            <w:tcW w:type="dxa" w:w="3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Overnight</w:t>
            </w:r>
          </w:p>
        </w:tc>
      </w:tr>
    </w:tbl>
    <w:p>
      <w:pPr>
        <w:keepNext w:val="false"/>
        <w:spacing w:after="120" w:before="100" w:line="276"/>
        <w:jc w:val="left"/>
      </w:pPr>
      <w:r>
        <w:t>Parsec with a standard bitrate on such a channel is not suitable, RDP remains for remote work.</w:t>
      </w:r>
    </w:p>
    <w:p>
      <w:pPr>
        <w:pStyle w:val="Heading2"/>
        <w:keepNext/>
      </w:pPr>
      <w:r>
        <w:t>33 Data and security</w:t>
      </w:r>
    </w:p>
    <w:p>
      <w:pPr>
        <w:pStyle w:val="ListParagraph"/>
        <w:numPr>
          <w:ilvl w:val="0"/>
          <w:numId w:val="2"/>
        </w:numPr>
        <w:spacing w:after="60" w:line="276"/>
      </w:pPr>
      <w:r>
        <w:t>Encrypt sensitive geological data, diagrams and database dumps over WireGuard when sending them to the company cloud. Before transfer, confirm that the cloud's jurisdiction permits storage of those data.</w:t>
      </w:r>
    </w:p>
    <w:p>
      <w:pPr>
        <w:pStyle w:val="ListParagraph"/>
        <w:numPr>
          <w:ilvl w:val="0"/>
          <w:numId w:val="2"/>
        </w:numPr>
        <w:spacing w:after="60" w:line="276"/>
      </w:pPr>
      <w:r>
        <w:t>The restriction on external transfer applies to third-party services: do not send identifiable data to third-party APIs without anonymisation and permission.</w:t>
      </w:r>
    </w:p>
    <w:p>
      <w:pPr>
        <w:pStyle w:val="ListParagraph"/>
        <w:numPr>
          <w:ilvl w:val="0"/>
          <w:numId w:val="2"/>
        </w:numPr>
        <w:spacing w:after="60" w:line="276"/>
      </w:pPr>
      <w:r>
        <w:t>Equipment control stays at the local site. Cloud agents may prepare recommendations and requests, but the local Tool Gateway issues VFD commands only after human confirmation.</w:t>
      </w:r>
    </w:p>
    <w:p>
      <w:pPr>
        <w:pStyle w:val="ListParagraph"/>
        <w:numPr>
          <w:ilvl w:val="0"/>
          <w:numId w:val="2"/>
        </w:numPr>
        <w:spacing w:after="60" w:line="276"/>
      </w:pPr>
      <w:r>
        <w:t>The firewall denies cloud access to Industrial VLAN 50 and the Tool Gateway. Use separate WireGuard keys for the cloud and local site.</w:t>
      </w:r>
    </w:p>
    <w:p>
      <w:pPr>
        <w:pStyle w:val="ListParagraph"/>
        <w:numPr>
          <w:ilvl w:val="0"/>
          <w:numId w:val="2"/>
        </w:numPr>
        <w:spacing w:after="60" w:line="276"/>
      </w:pPr>
      <w:r>
        <w:t>A compromised cloud account must not provide a route to equipment control. This is a network-design requirement.</w:t>
      </w:r>
    </w:p>
    <w:p>
      <w:pPr>
        <w:pStyle w:val="ListParagraph"/>
        <w:numPr>
          <w:ilvl w:val="0"/>
          <w:numId w:val="2"/>
        </w:numPr>
        <w:spacing w:after="60" w:line="276"/>
      </w:pPr>
      <w:r>
        <w:t>Option B: The main copy of the geologic data is in the cloud, so the requirements for cloud protection (access via MFA, logging, separate Windows VM accounts) are higher than in option A.</w:t>
      </w:r>
    </w:p>
    <w:p>
      <w:pPr>
        <w:pStyle w:val="Heading1"/>
        <w:pageBreakBefore/>
      </w:pPr>
      <w:r>
        <w:t>Section IV Summary budget</w:t>
      </w:r>
    </w:p>
    <w:p>
      <w:pPr>
        <w:pStyle w:val="Heading2"/>
        <w:keepNext/>
      </w:pPr>
      <w:r>
        <w:t>34 CAPEX for stages 0 and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2719"/>
        <w:gridCol w:w="2719"/>
      </w:tblGrid>
      <w:tr>
        <w:trPr>
          <w:cantSplit/>
          <w:tblHeader/>
        </w:trPr>
        <w:tc>
          <w:tcPr>
            <w:tcW w:type="dxa" w:w="4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Component</w:t>
            </w:r>
          </w:p>
        </w:tc>
        <w:tc>
          <w:tcPr>
            <w:tcW w:type="dxa" w:w="2719"/>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Option A (USD)</w:t>
            </w:r>
          </w:p>
        </w:tc>
        <w:tc>
          <w:tcPr>
            <w:tcW w:type="dxa" w:w="2719"/>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Option B (USD)</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Hardware site (without rack and installation)</w:t>
            </w:r>
          </w:p>
        </w:tc>
        <w:tc>
          <w:tcPr>
            <w:tcW w:type="dxa" w:w="2719"/>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40 243–62 734</w:t>
            </w:r>
          </w:p>
        </w:tc>
        <w:tc>
          <w:tcPr>
            <w:tcW w:type="dxa" w:w="2719"/>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40 243–62 734</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Software, one-time payments</w:t>
            </w:r>
          </w:p>
        </w:tc>
        <w:tc>
          <w:tcPr>
            <w:tcW w:type="dxa" w:w="2719"/>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c>
          <w:tcPr>
            <w:tcW w:type="dxa" w:w="2719"/>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0</w:t>
            </w:r>
          </w:p>
        </w:tc>
      </w:tr>
      <w:tr>
        <w:trPr>
          <w:cantSplit/>
        </w:trPr>
        <w:tc>
          <w:tcPr>
            <w:tcW w:type="dxa" w:w="4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Subtotal</w:t>
            </w:r>
          </w:p>
        </w:tc>
        <w:tc>
          <w:tcPr>
            <w:tcW w:type="dxa" w:w="2719"/>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40 243–62 734</w:t>
            </w:r>
          </w:p>
        </w:tc>
        <w:tc>
          <w:tcPr>
            <w:tcW w:type="dxa" w:w="2719"/>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40 243–62 734</w:t>
            </w:r>
          </w:p>
        </w:tc>
      </w:tr>
      <w:tr>
        <w:trPr>
          <w:cantSplit/>
        </w:trPr>
        <w:tc>
          <w:tcPr>
            <w:tcW w:type="dxa" w:w="4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Reserve 15%</w:t>
            </w:r>
          </w:p>
        </w:tc>
        <w:tc>
          <w:tcPr>
            <w:tcW w:type="dxa" w:w="2719"/>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6 036–9 410</w:t>
            </w:r>
          </w:p>
        </w:tc>
        <w:tc>
          <w:tcPr>
            <w:tcW w:type="dxa" w:w="2719"/>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6 036–9 410</w:t>
            </w:r>
          </w:p>
        </w:tc>
      </w:tr>
      <w:tr>
        <w:trPr>
          <w:cantSplit/>
        </w:trPr>
        <w:tc>
          <w:tcPr>
            <w:tcW w:type="dxa" w:w="42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 CAPEX including reserve</w:t>
            </w:r>
          </w:p>
        </w:tc>
        <w:tc>
          <w:tcPr>
            <w:tcW w:type="dxa" w:w="2719"/>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46 279–72 144</w:t>
            </w:r>
          </w:p>
        </w:tc>
        <w:tc>
          <w:tcPr>
            <w:tcW w:type="dxa" w:w="2719"/>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46 279–72 144</w:t>
            </w:r>
          </w:p>
        </w:tc>
      </w:tr>
    </w:tbl>
    <w:p>
      <w:pPr>
        <w:keepNext w:val="false"/>
        <w:spacing w:after="120" w:before="100" w:line="276"/>
        <w:jc w:val="left"/>
      </w:pPr>
      <w:r>
        <w:t>Local-site CAPEX is the same under both options because the 96 GB GPU remains in Option B. PROTO-01, particularly GPU and RAM pricing, drives most of the estimate range. Cloud hardware is excluded because the design assumes an existing company cloud.</w:t>
      </w:r>
    </w:p>
    <w:p>
      <w:pPr>
        <w:spacing w:before="0" w:after="120"/>
      </w:pPr>
      <w:r>
        <w:rPr>
          <w:b/>
        </w:rPr>
        <w:t xml:space="preserve">Cost basis for one project centre. </w:t>
      </w:r>
      <w:r>
        <w:t>The stages 0 and 1 site hardware is estimated at USD 40,243–62,734, or USD 46,279–72,144 including the 15% reserve, under either option. The one-time software licence purchase in these stages is zero because the existing core licences are reused. Year-one operating costs, stage-2 additions and the exclusions in section 37 are shown separately. This range supports the centre quotation; the final purchase price depends on the contracted scope and site-specific costs.</w:t>
      </w:r>
    </w:p>
    <w:p>
      <w:pPr>
        <w:pStyle w:val="Heading2"/>
        <w:keepNext/>
      </w:pPr>
      <w:r>
        <w:t>35 OPEX for year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200"/>
        <w:gridCol w:w="2638"/>
      </w:tblGrid>
      <w:tr>
        <w:trPr>
          <w:cantSplit/>
          <w:tblHeader/>
        </w:trPr>
        <w:tc>
          <w:tcPr>
            <w:tcW w:type="dxa" w:w="2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Cost item</w:t>
            </w:r>
          </w:p>
        </w:tc>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Option A (USD per year)</w:t>
            </w:r>
          </w:p>
        </w:tc>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Option B (USD per year)</w:t>
            </w:r>
          </w:p>
        </w:tc>
        <w:tc>
          <w:tcPr>
            <w:tcW w:type="dxa" w:w="26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Basis</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Acronis</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1,330-1,670 (3 loads)</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1 245–1 561 (2 loads)</w:t>
            </w:r>
          </w:p>
        </w:tc>
        <w:tc>
          <w:tcPr>
            <w:tcW w:type="dxa" w:w="2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Published-price estimate</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Civil 3D monthly, 3 months</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1 080</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1 080</w:t>
            </w:r>
          </w:p>
        </w:tc>
        <w:tc>
          <w:tcPr>
            <w:tcW w:type="dxa" w:w="2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Autodesk published price</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VPS repeater</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0 (canceled)</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t>0 (canceled)</w:t>
            </w:r>
          </w:p>
        </w:tc>
        <w:tc>
          <w:tcPr>
            <w:tcW w:type="dxa" w:w="2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Trackers go to the cloud</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Tracker SIM Rates (3–5)</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180–900</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180–900</w:t>
            </w:r>
          </w:p>
        </w:tc>
        <w:tc>
          <w:tcPr>
            <w:tcW w:type="dxa" w:w="2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Estimate</w:t>
            </w:r>
          </w:p>
        </w:tc>
      </w:tr>
      <w:tr>
        <w:trPr>
          <w:cantSplit/>
        </w:trPr>
        <w:tc>
          <w:tcPr>
            <w:tcW w:type="dxa" w:w="2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Electricity of the site</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1 050–3 940</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1 050–3 940</w:t>
            </w:r>
          </w:p>
        </w:tc>
        <w:tc>
          <w:tcPr>
            <w:tcW w:type="dxa" w:w="2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Average load of 1.0–1.5 kW, tariff 0.12–0.30 USD/kWh</w:t>
            </w:r>
          </w:p>
        </w:tc>
      </w:tr>
      <w:tr>
        <w:trPr>
          <w:cantSplit/>
        </w:trPr>
        <w:tc>
          <w:tcPr>
            <w:tcW w:type="dxa" w:w="2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Internet</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TBD</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TBD</w:t>
            </w:r>
          </w:p>
        </w:tc>
        <w:tc>
          <w:tcPr>
            <w:tcW w:type="dxa" w:w="2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Depends on the local site</w:t>
            </w:r>
          </w:p>
        </w:tc>
      </w:tr>
      <w:tr>
        <w:trPr>
          <w:cantSplit/>
        </w:trPr>
        <w:tc>
          <w:tcPr>
            <w:tcW w:type="dxa" w:w="26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t>Total (without internet)</w:t>
            </w:r>
          </w:p>
        </w:tc>
        <w:tc>
          <w:tcPr>
            <w:tcW w:type="dxa" w:w="22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3 640–7 590</w:t>
            </w:r>
          </w:p>
        </w:tc>
        <w:tc>
          <w:tcPr>
            <w:tcW w:type="dxa" w:w="22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3 555–7 481</w:t>
            </w:r>
          </w:p>
        </w:tc>
        <w:tc>
          <w:tcPr>
            <w:tcW w:type="dxa" w:w="26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left"/>
            </w:pPr>
            <w:r>
              <w:rPr>
                <w:rFonts w:ascii="Arial" w:cs="Arial" w:eastAsia="Arial" w:hAnsi="Arial"/>
                <w:b/>
                <w:bCs/>
                <w:sz w:val="17"/>
                <w:szCs w:val="17"/>
              </w:rPr>
              <w:t xml:space="preserve"/>
            </w:r>
          </w:p>
        </w:tc>
      </w:tr>
    </w:tbl>
    <w:p>
      <w:pPr>
        <w:keepNext w:val="false"/>
        <w:spacing w:after="120" w:before="100" w:line="276"/>
        <w:jc w:val="left"/>
      </w:pPr>
      <w:r>
        <w:t>Cloud electricity, administration and workload licences are excluded from this OPEX estimate.</w:t>
      </w:r>
    </w:p>
    <w:p>
      <w:pPr>
        <w:pStyle w:val="Heading2"/>
        <w:keepNext/>
      </w:pPr>
      <w:r>
        <w:t>36 Deferred costs for stage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00"/>
        <w:gridCol w:w="2200"/>
        <w:gridCol w:w="2238"/>
      </w:tblGrid>
      <w:tr>
        <w:trPr>
          <w:cantSplit/>
          <w:tblHeader/>
        </w:trPr>
        <w:tc>
          <w:tcPr>
            <w:tcW w:type="dxa" w:w="5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Cost item</w:t>
            </w:r>
          </w:p>
        </w:tc>
        <w:tc>
          <w:tcPr>
            <w:tcW w:type="dxa" w:w="22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One-off (USD)</w:t>
            </w:r>
          </w:p>
        </w:tc>
        <w:tc>
          <w:tcPr>
            <w:tcW w:type="dxa" w:w="22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right"/>
            </w:pPr>
            <w:r>
              <w:t>Annual (USD)</w:t>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Server with 24 cores and 5 CAL</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1 800–2 300</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r>
      <w:tr>
        <w:trPr>
          <w:cantSplit/>
        </w:trPr>
        <w:tc>
          <w:tcPr>
            <w:tcW w:type="dxa" w:w="5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Windows 11 Pro and VDA (Option A: Site; Option B: Cloud)</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199 and above</w:t>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Metashape Professional (option B: the license is hosted in the cloud)</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3 499</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r>
      <w:tr>
        <w:trPr>
          <w:cantSplit/>
        </w:trPr>
        <w:tc>
          <w:tcPr>
            <w:tcW w:type="dxa" w:w="5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Rack, cabling and installation</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1 120–2 240</w:t>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4U rack case, redundant PSU and server cooling</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TBD</w:t>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r>
      <w:tr>
        <w:trPr>
          <w:cantSplit/>
        </w:trPr>
        <w:tc>
          <w:tcPr>
            <w:tcW w:type="dxa" w:w="5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Odoo Custom, 5 users</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2 940–3 660</w:t>
            </w:r>
          </w:p>
        </w:tc>
      </w:tr>
      <w:tr>
        <w:trPr>
          <w:cantSplit/>
        </w:trPr>
        <w:tc>
          <w:tcPr>
            <w:tcW w:type="dxa" w:w="5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Civil 3D, an annual subscription</w:t>
            </w:r>
          </w:p>
        </w:tc>
        <w:tc>
          <w:tcPr>
            <w:tcW w:type="dxa" w:w="22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c>
          <w:tcPr>
            <w:tcW w:type="dxa" w:w="22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2 870–3 175</w:t>
            </w:r>
          </w:p>
        </w:tc>
      </w:tr>
      <w:tr>
        <w:trPr>
          <w:cantSplit/>
        </w:trPr>
        <w:tc>
          <w:tcPr>
            <w:tcW w:type="dxa" w:w="5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Trimble Business Center</w:t>
            </w:r>
          </w:p>
        </w:tc>
        <w:tc>
          <w:tcPr>
            <w:tcW w:type="dxa" w:w="22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rPr>
                <w:rFonts w:ascii="Arial" w:cs="Arial" w:eastAsia="Arial" w:hAnsi="Arial"/>
                <w:b w:val="false"/>
                <w:bCs w:val="false"/>
                <w:sz w:val="17"/>
                <w:szCs w:val="17"/>
              </w:rPr>
              <w:t xml:space="preserve"/>
            </w:r>
          </w:p>
        </w:tc>
        <w:tc>
          <w:tcPr>
            <w:tcW w:type="dxa" w:w="22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right"/>
            </w:pPr>
            <w:r>
              <w:t>about 1,813</w:t>
            </w:r>
          </w:p>
        </w:tc>
      </w:tr>
      <w:tr>
        <w:trPr>
          <w:cantSplit/>
        </w:trPr>
        <w:tc>
          <w:tcPr>
            <w:tcW w:type="dxa" w:w="52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r>
              <w:t>Total estimated deferred items</w:t>
            </w:r>
          </w:p>
        </w:tc>
        <w:tc>
          <w:tcPr>
            <w:tcW w:type="dxa" w:w="2200"/>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6 618–8 238</w:t>
            </w:r>
          </w:p>
        </w:tc>
        <w:tc>
          <w:tcPr>
            <w:tcW w:type="dxa" w:w="2238"/>
            <w:tcBorders>
              <w:top w:val="single" w:color="BFC8D6" w:sz="4"/>
              <w:left w:val="single" w:color="BFC8D6" w:sz="4"/>
              <w:bottom w:val="single" w:color="BFC8D6" w:sz="4"/>
              <w:right w:val="single" w:color="BFC8D6" w:sz="4"/>
            </w:tcBorders>
            <w:shd w:fill="D9E2EF" w:color="auto" w:val="clear"/>
            <w:tcMar>
              <w:top w:type="dxa" w:w="55"/>
              <w:left w:type="dxa" w:w="90"/>
              <w:bottom w:type="dxa" w:w="55"/>
              <w:right w:type="dxa" w:w="90"/>
            </w:tcMar>
            <w:vAlign w:val="center"/>
          </w:tcPr>
          <w:p>
            <w:pPr>
              <w:spacing w:after="0" w:line="252"/>
              <w:jc w:val="right"/>
            </w:pPr>
            <w:r>
              <w:rPr>
                <w:rFonts w:ascii="Arial" w:cs="Arial" w:eastAsia="Arial" w:hAnsi="Arial"/>
                <w:b/>
                <w:bCs/>
                <w:sz w:val="17"/>
                <w:szCs w:val="17"/>
              </w:rPr>
              <w:t xml:space="preserve">7 623–8 648</w:t>
            </w:r>
          </w:p>
        </w:tc>
      </w:tr>
    </w:tbl>
    <w:p>
      <w:pPr>
        <w:pStyle w:val="Heading2"/>
        <w:keepNext/>
      </w:pPr>
      <w:r>
        <w:t>37 Items excluded from the budget</w:t>
      </w:r>
    </w:p>
    <w:p>
      <w:pPr>
        <w:keepNext w:val="false"/>
        <w:spacing w:after="120" w:before="0" w:line="276"/>
        <w:jc w:val="left"/>
      </w:pPr>
      <w:r>
        <w:t>Not included: Geobank, drone and GNSS equipment (according to scenarios); VAT, delivery and duties; Startdrive / TIA Portal software for VFD; Internet channel and its redundancy; work of the administrator and integrator, implementation of Odoo; Micromine 2016 (available) and extension of its support; the cost of transferring Micromine and Metashape licenses to the cloud (option B); equipment, electricity, administration and cloud licenses.</w:t>
      </w:r>
    </w:p>
    <w:p>
      <w:pPr>
        <w:pStyle w:val="Heading1"/>
        <w:pageBreakBefore/>
      </w:pPr>
      <w:r>
        <w:t>Section V Decisions and risks</w:t>
      </w:r>
    </w:p>
    <w:p>
      <w:pPr>
        <w:pStyle w:val="Heading2"/>
        <w:keepNext/>
      </w:pPr>
      <w:r>
        <w:t>38 Decisions on open items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400"/>
        <w:gridCol w:w="5138"/>
        <w:gridCol w:w="1600"/>
      </w:tblGrid>
      <w:tr>
        <w:trPr>
          <w:cantSplit/>
          <w:tblHeader/>
        </w:trPr>
        <w:tc>
          <w:tcPr>
            <w:tcW w:type="dxa" w:w="5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No.</w:t>
            </w:r>
          </w:p>
        </w:tc>
        <w:tc>
          <w:tcPr>
            <w:tcW w:type="dxa" w:w="24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51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Design decision</w:t>
            </w:r>
          </w:p>
        </w:tc>
        <w:tc>
          <w:tcPr>
            <w:tcW w:type="dxa" w:w="1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Status</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Embedding model/runtime</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Qwen3-Embedding 4B</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Reranker</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Qwen3-Reranker 4B</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OCR</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Docling and PaddleOCR</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4</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Object Storage</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SeaweedFS, data on NAS</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5</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Backup software</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Acronis, database dumps and pgBackRest, copies of critical set to the cloud, offline copy to external SSD</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6</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Audit logging</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OTel, Loki, Tempo, audit table in PostgreSQL</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7</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TimescaleDB edition</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Community; check the terms of the license</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8</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Qdrant edition</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Single node, Apache 2. 0</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9</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Redpanda Community or Enterprise</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Community, core and memory limits</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10</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Odoo edition and users</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Community in step 1; Custom, 5 users in step 2</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11</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Micromine licensing</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Micromine 2016 is available, off budget. Option A: site; option B: cloud</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Design decision recorded; stage 1 test remains</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12</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Geobank licensing</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Postponed, not before stage 2</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Delayed.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13</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Civil 3D licensing</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One named-user licence, 2027 edition; test monthly before annual purchase</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14</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Metashape licensing</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Trial period in stage 1; purchase 3,499 in stage 2; option B: license in the cloud</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Delayed.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15</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Trimble Business Center licensing</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Deferred to stage 2</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16</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Proxmox or KVM/libvirt</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KVM/libvirt on Ubuntu</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17</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Server and CAL</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Evaluation now; 24 cores and 5 CAL in stage 2</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18</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Data acquisition equipment</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Document scanner in stage 1; drone and GNSS scenarios</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Partly 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19</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NAS and HDD models</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Synology DS1823x+ and 8x16TB</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20</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PoE switch and ports</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Defined components and estimates in section 10; verify Startdrive licence terms</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21</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VFD stand</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Composition and evaluations in section 10; Startdrive software check</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Partly 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22</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Specific LLM</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Qwen3-30B-A3B-Instruct-2507, FP8</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23</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11 and VDA</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Enterprise Evaluation for Test; License and VDA in Stage 2</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24</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Cloud channel</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At least 100 Mbit/s cloud internet; site-to-cloud link limited to 10 Mbit/s</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25</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GPU in the cloud in option B</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Retain the 96 GB local GPU and dedicate it to level 1 AI</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26</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GPU site in option B</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Leave 96GB, give level 1</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27</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Trackers</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Traccar in the cloud, VPS cancelled</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Closed.</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28</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Choice of option A or B</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Basic option for stages 0-1: A; transition to B after three checks (Section 28.4)</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Open.</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29</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Transfer of Micromine and Metashape licenses</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Confirm the assumed cloud capacity against actual specifications</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Open.</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30</w:t>
            </w:r>
          </w:p>
        </w:tc>
        <w:tc>
          <w:tcPr>
            <w:tcW w:type="dxa" w:w="24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Actual characteristics of the cloud</w:t>
            </w:r>
          </w:p>
        </w:tc>
        <w:tc>
          <w:tcPr>
            <w:tcW w:type="dxa" w:w="51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Confirm the assumption of "no worse than the site"</w:t>
            </w:r>
          </w:p>
        </w:tc>
        <w:tc>
          <w:tcPr>
            <w:tcW w:type="dxa" w:w="1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Open.</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31</w:t>
            </w:r>
          </w:p>
        </w:tc>
        <w:tc>
          <w:tcPr>
            <w:tcW w:type="dxa" w:w="24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Delay and availability of the site channel</w:t>
            </w:r>
          </w:p>
        </w:tc>
        <w:tc>
          <w:tcPr>
            <w:tcW w:type="dxa" w:w="51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Measure in two weeks</w:t>
            </w:r>
          </w:p>
        </w:tc>
        <w:tc>
          <w:tcPr>
            <w:tcW w:type="dxa" w:w="1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Open.</w:t>
            </w:r>
          </w:p>
        </w:tc>
      </w:tr>
    </w:tbl>
    <w:p>
      <w:pPr>
        <w:pStyle w:val="Heading2"/>
        <w:keepNext/>
      </w:pPr>
      <w:r>
        <w:t>39 Risks and pre-purchase checks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4600"/>
        <w:gridCol w:w="4538"/>
      </w:tblGrid>
      <w:tr>
        <w:trPr>
          <w:cantSplit/>
          <w:tblHeader/>
        </w:trPr>
        <w:tc>
          <w:tcPr>
            <w:tcW w:type="dxa" w:w="5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r>
              <w:t>No.</w:t>
            </w:r>
          </w:p>
        </w:tc>
        <w:tc>
          <w:tcPr>
            <w:tcW w:type="dxa" w:w="46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Risk or verification</w:t>
            </w:r>
          </w:p>
        </w:tc>
        <w:tc>
          <w:tcPr>
            <w:tcW w:type="dxa" w:w="45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Action</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GPU price and availability; the source notes a 55% rise and higher unauthorised resale listings</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Request quotes from authorized suppliers before ordering the rest</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Wide USD 3,000–8,000 estimate for 256 GB RAM</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Obtain a quotation; consider 128 GB for the initial test if required</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3</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Blackwell support for vLLM, PyTorch, DeepStream, Frigate, PaddleOCR</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Test the software stack before purchasing the remaining equipment</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4</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GPU reset at passthrough (VFIO reset), option A</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Test GPU switching between the host and VM with a controlled hook script</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5</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Micromine 2016 compatibility with Windows 11 and license key type</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Test Windows compatibility and USB passthrough; under Option B, verify USB-over-IP or a software key</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6</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Compatibility of PostgreSQL versions with Odoo, Traccar, TimescaleDB</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Compatibility table, Odoo on a separate cluster</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7</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Synology policy on third-party disks</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Check the compatibility list for the DS1823xs +</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8</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Acronis Licensing for KVM Host and Cloud Loads</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Use guest agents; confirm licensing with the supplier</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9</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Windows Server Evaluation (180 days) and AD</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Maintain emergency local accounts and a licence-expiry reminder</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10</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License Terms: TimescaleDB Community, Redpanda BSL, model licenses</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Legal review before production use</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11</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Tool Gateway and VFD: the ability to bypass the gateway</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Test before first start, human confirmation, emergency stop</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12</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PoE budget and switch ports</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Port diagram and calculation before installation</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13</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Legal requirements for video surveillance</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Check legal requirements at the local site</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14</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Electrical safety and VFD connection</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Only an electrician with clearance.</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15</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Channel delay and availability unknown</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Measure delay, loss and bandwidth over two weeks</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16</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Assumption of “the cloud is no worse than the site”</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Confirm the actual configuration: GPU, RAM, disk, network</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17</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Jurisdiction and data policy</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Legal review before sending geological data</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18</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Replication lag and split-brain risk</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Use a single authoritative writer and monitor replication lag</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19</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Cloud as a new entry point for trackers</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Firewall, SIM and address restriction, tracker buffer check</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20</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Emergency switching not checked</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r>
              <w:t>Test launching critical services in the cloud from replicas at least quarterly</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21</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Cloud Compromise and Site Access</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Separate keys, private access to VLAN 50 and Tool Gateway</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22</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Option B: Transfer of Micromine and Metashape licenses</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Written confirmation of vendors prior to decision</w:t>
            </w:r>
          </w:p>
        </w:tc>
      </w:tr>
      <w:tr>
        <w:trPr>
          <w:cantSplit/>
        </w:trPr>
        <w:tc>
          <w:tcPr>
            <w:tcW w:type="dxa" w:w="5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23</w:t>
            </w:r>
          </w:p>
        </w:tc>
        <w:tc>
          <w:tcPr>
            <w:tcW w:type="dxa" w:w="46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Option B: the dependence of engineering work on the channel</w:t>
            </w:r>
          </w:p>
        </w:tc>
        <w:tc>
          <w:tcPr>
            <w:tcW w:type="dxa" w:w="45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r>
              <w:t>Keep local project exports; measure link availability; require MFA and Windows VM audit logging</w:t>
            </w:r>
          </w:p>
        </w:tc>
      </w:tr>
      <w:tr>
        <w:trPr>
          <w:cantSplit/>
        </w:trPr>
        <w:tc>
          <w:tcPr>
            <w:tcW w:type="dxa" w:w="5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24</w:t>
            </w:r>
          </w:p>
        </w:tc>
        <w:tc>
          <w:tcPr>
            <w:tcW w:type="dxa" w:w="46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Option B: Cloud GPU schedule</w:t>
            </w:r>
          </w:p>
        </w:tc>
        <w:tc>
          <w:tcPr>
            <w:tcW w:type="dxa" w:w="45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Switch script, work windows, confirmation of unscheduled switches</w:t>
            </w:r>
          </w:p>
        </w:tc>
      </w:tr>
    </w:tbl>
    <w:p>
      <w:pPr>
        <w:pStyle w:val="Heading2"/>
        <w:keepNext/>
      </w:pPr>
      <w:r>
        <w:t>40 Outstanding clarifications and next steps</w:t>
      </w:r>
    </w:p>
    <w:p>
      <w:pPr>
        <w:pStyle w:val="ListParagraph"/>
        <w:spacing w:after="60" w:line="276"/>
      </w:pPr>
      <w:r>
        <w:t>1. Measure site-link latency, packet loss and availability during working hours over two weeks.</w:t>
      </w:r>
    </w:p>
    <w:p>
      <w:pPr>
        <w:pStyle w:val="ListParagraph"/>
        <w:spacing w:after="60" w:line="276"/>
      </w:pPr>
      <w:r>
        <w:t>2. Confirm the actual cloud configuration: GPU, RAM, disk, network, administration, SLA.</w:t>
      </w:r>
    </w:p>
    <w:p>
      <w:pPr>
        <w:pStyle w:val="ListParagraph"/>
        <w:spacing w:after="60" w:line="276"/>
      </w:pPr>
      <w:r>
        <w:t>3. Ask Micromine and Agisoft for license terms in the cloud.</w:t>
      </w:r>
    </w:p>
    <w:p>
      <w:pPr>
        <w:pStyle w:val="ListParagraph"/>
        <w:spacing w:after="60" w:line="276"/>
      </w:pPr>
      <w:r>
        <w:t>4. Obtain supplier quotations for the GPU, RAM, CPU, motherboard, NAS, HDDs and switch.</w:t>
      </w:r>
    </w:p>
    <w:p>
      <w:pPr>
        <w:pStyle w:val="ListParagraph"/>
        <w:spacing w:after="60" w:line="276"/>
      </w:pPr>
      <w:r>
        <w:t>5. Pilot the software stack on Blackwell and test GPU switching between host and Windows VM, including the scheduled cloud arrangement.</w:t>
      </w:r>
    </w:p>
    <w:p>
      <w:pPr>
        <w:pStyle w:val="ListParagraph"/>
        <w:spacing w:after="60" w:line="276"/>
      </w:pPr>
      <w:r>
        <w:t>6. Create a diagram of VLAN, ports and calculation of the PoE budget.</w:t>
      </w:r>
    </w:p>
    <w:p>
      <w:pPr>
        <w:pStyle w:val="ListParagraph"/>
        <w:spacing w:after="60" w:line="276"/>
      </w:pPr>
      <w:r>
        <w:t>7. Identify drone, GNSS, Geobank, Metashape and TBC use cases.</w:t>
      </w:r>
    </w:p>
    <w:p>
      <w:pPr>
        <w:pStyle w:val="ListParagraph"/>
        <w:spacing w:after="60" w:line="276"/>
      </w:pPr>
      <w:r>
        <w:t>8. Then select Option A or B, prepare procurement version 2.0 and finalise the hardware bill of materials.</w:t>
      </w:r>
    </w:p>
    <w:p>
      <w:pPr>
        <w:keepNext w:val="false"/>
        <w:spacing w:after="120" w:before="160" w:line="276"/>
        <w:jc w:val="left"/>
      </w:pPr>
      <w:r>
        <w:t>Document status: planning estimate until supplier quotations are received.</w:t>
      </w:r>
    </w:p>
    <w:p>
      <w:pPr>
        <w:pStyle w:val="Heading1"/>
        <w:pageBreakBefore/>
      </w:pPr>
      <w:r>
        <w:t>Annex A Price sources</w:t>
      </w:r>
    </w:p>
    <w:p>
      <w:pPr>
        <w:keepNext w:val="false"/>
        <w:spacing w:after="120" w:before="0" w:line="276"/>
        <w:jc w:val="left"/>
      </w:pPr>
      <w:r>
        <w:t>Public sources used in price reconciliation (October 2026) Prices change and a quote is required before purchase.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Item</w:t>
            </w:r>
          </w:p>
        </w:tc>
        <w:tc>
          <w:tcPr>
            <w:tcW w:type="dxa" w:w="6638"/>
            <w:tcBorders>
              <w:top w:val="single" w:color="BFC8D6" w:sz="4"/>
              <w:left w:val="single" w:color="BFC8D6" w:sz="4"/>
              <w:bottom w:val="single" w:color="BFC8D6" w:sz="4"/>
              <w:right w:val="single" w:color="BFC8D6" w:sz="4"/>
            </w:tcBorders>
            <w:shd w:fill="1F3A5F" w:color="auto" w:val="clear"/>
            <w:tcMar>
              <w:top w:type="dxa" w:w="55"/>
              <w:left w:type="dxa" w:w="90"/>
              <w:bottom w:type="dxa" w:w="55"/>
              <w:right w:type="dxa" w:w="90"/>
            </w:tcMar>
            <w:vAlign w:val="center"/>
          </w:tcPr>
          <w:p>
            <w:pPr>
              <w:spacing w:after="0" w:line="252"/>
              <w:jc w:val="left"/>
            </w:pPr>
            <w:r>
              <w:t>Source and meaning</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RTX PRO 6000 Blackwell</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Tom's Hardware (June 2026): $13,250 at the NVIDIA store, PNY 11,359.99 USD, Newegg 12,099.99 USD; launch price 8,565 USD. GPU tracker Poet (October 2026): secondary market from 17,860 USD</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Threadripper PRO 9965WX / 9975WX</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AMD Official Prices: $2,899 and $4,099; Retail Offers Higher</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RAM DDR5 ECC RDIMM 256 GB</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Catalogues A-Tech, Newegg, etc. (July 2026): wide range by price and modules</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Windows Server 2025 Standard</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SHI, CDW: 16 cores, about 1,000–1,330 USD (ROK and OEM)</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Odoo</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Public price reviews 2026 (US): Standard 24.90–31.10, Custom 49–61 USD per user per month</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Autodesk Civil 3D</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Autodesk FAQ: $2,870 USD per year, 360 USD per month; CDW: $3,174.99 USD (2027, 1st place)</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Agisoft Metashape Professional</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Agisoft and resellers: 3,499 USD, node-locked</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Acronis Cyber Protect</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Acronis: Standard from $85 per year (workstation); CDW: Standard Server 619.99 USD; reviews: server 779–925 USD; KVM requires Advanced</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Synology DS1823xs+</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Reviews and retail: $1,800 USD and above; 1 port 10GbE RJ45</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MikroTik CRS418-8P-8G-2S+RM</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Walmart: $439, PoE budget 140W</w:t>
            </w:r>
          </w:p>
        </w:tc>
      </w:tr>
      <w:tr>
        <w:trPr>
          <w:cantSplit/>
        </w:trPr>
        <w:tc>
          <w:tcPr>
            <w:tcW w:type="dxa" w:w="3000"/>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Fujitsu/Ricoh Fi-8170 scanner</w:t>
            </w:r>
          </w:p>
        </w:tc>
        <w:tc>
          <w:tcPr>
            <w:tcW w:type="dxa" w:w="6638"/>
            <w:tcBorders>
              <w:top w:val="single" w:color="BFC8D6" w:sz="4"/>
              <w:left w:val="single" w:color="BFC8D6" w:sz="4"/>
              <w:bottom w:val="single" w:color="BFC8D6" w:sz="4"/>
              <w:right w:val="single" w:color="BFC8D6" w:sz="4"/>
            </w:tcBorders>
            <w:tcMar>
              <w:top w:type="dxa" w:w="55"/>
              <w:left w:type="dxa" w:w="90"/>
              <w:bottom w:type="dxa" w:w="55"/>
              <w:right w:type="dxa" w:w="90"/>
            </w:tcMar>
            <w:vAlign w:val="center"/>
          </w:tcPr>
          <w:p>
            <w:pPr>
              <w:spacing w:after="0" w:line="252"/>
              <w:jc w:val="left"/>
            </w:pPr>
            <w:r>
              <w:t>European retail: 729 EUR excluding VAT, 882 EUR with VAT</w:t>
            </w:r>
          </w:p>
        </w:tc>
      </w:tr>
      <w:tr>
        <w:trPr>
          <w:cantSplit/>
        </w:trPr>
        <w:tc>
          <w:tcPr>
            <w:tcW w:type="dxa" w:w="3000"/>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rPr>
                <w:rFonts w:ascii="Arial" w:cs="Arial" w:eastAsia="Arial" w:hAnsi="Arial"/>
                <w:b w:val="false"/>
                <w:bCs w:val="false"/>
                <w:sz w:val="17"/>
                <w:szCs w:val="17"/>
              </w:rPr>
              <w:t xml:space="preserve">LLM Qwen3-30B-A3B-Instruct-2507</w:t>
            </w:r>
          </w:p>
        </w:tc>
        <w:tc>
          <w:tcPr>
            <w:tcW w:type="dxa" w:w="6638"/>
            <w:tcBorders>
              <w:top w:val="single" w:color="BFC8D6" w:sz="4"/>
              <w:left w:val="single" w:color="BFC8D6" w:sz="4"/>
              <w:bottom w:val="single" w:color="BFC8D6" w:sz="4"/>
              <w:right w:val="single" w:color="BFC8D6" w:sz="4"/>
            </w:tcBorders>
            <w:shd w:fill="EEF2F7" w:color="auto" w:val="clear"/>
            <w:tcMar>
              <w:top w:type="dxa" w:w="55"/>
              <w:left w:type="dxa" w:w="90"/>
              <w:bottom w:type="dxa" w:w="55"/>
              <w:right w:type="dxa" w:w="90"/>
            </w:tcMar>
            <w:vAlign w:val="center"/>
          </w:tcPr>
          <w:p>
            <w:pPr>
              <w:spacing w:after="0" w:line="252"/>
              <w:jc w:val="left"/>
            </w:pPr>
            <w:r>
              <w:t>Reviews of RAG models 2026: MoE, 30.5 billion parameters, 3.3 billion active, Apache 2.0, 262K context</w:t>
            </w:r>
          </w:p>
        </w:tc>
      </w:tr>
    </w:tbl>
    <w:p>
      <w:pPr>
        <w:pStyle w:val="Heading1"/>
        <w:pageBreakBefore/>
      </w:pPr>
      <w:r>
        <w:t>Annex B Transfer time calculation method</w:t>
      </w:r>
    </w:p>
    <w:p>
      <w:pPr>
        <w:pStyle w:val="ListParagraph"/>
        <w:numPr>
          <w:ilvl w:val="0"/>
          <w:numId w:val="2"/>
        </w:numPr>
        <w:spacing w:after="60" w:line="276"/>
      </w:pPr>
      <w:r>
        <w:t>Site: 10 Mbit/s = 1.25 MB/s theoretically; 75% of the usable speed is accepted, that is ~0.94 MB/s (~81 GB / day).</w:t>
      </w:r>
    </w:p>
    <w:p>
      <w:pPr>
        <w:pStyle w:val="ListParagraph"/>
        <w:numPr>
          <w:ilvl w:val="0"/>
          <w:numId w:val="2"/>
        </w:numPr>
        <w:spacing w:after="60" w:line="276"/>
      </w:pPr>
      <w:r>
        <w:t>Cloud: 100 Mbit/s = 12.5 MB/s theoretically; accepted 75%, that is ~9.4 MB/s (~810 GB / day).</w:t>
      </w:r>
    </w:p>
    <w:p>
      <w:pPr>
        <w:pStyle w:val="ListParagraph"/>
        <w:numPr>
          <w:ilvl w:val="0"/>
          <w:numId w:val="2"/>
        </w:numPr>
        <w:spacing w:after="60" w:line="276"/>
      </w:pPr>
      <w:r>
        <w:t>Transmission time = volume/speed. On the site: 20 GB ≈ 5.9 hours; 30 GB ≈ 8.9 hours; 60 GB ≈ 17.7 hours; 500 GB ≈ 6.2 days; 2 TB ≈ 24.6 days; 96 TB ≈ 3.2 years. In the cloud: 30 GB ≈ 53 minutes; 60 GB ≈ 1.8 hours; 500 GB ≈ 14.8 hours; 2 TB ≈ 2.5 days.</w:t>
      </w:r>
    </w:p>
    <w:p>
      <w:pPr>
        <w:pStyle w:val="ListParagraph"/>
        <w:numPr>
          <w:ilvl w:val="0"/>
          <w:numId w:val="2"/>
        </w:numPr>
        <w:spacing w:after="60" w:line="276"/>
      </w:pPr>
      <w:r>
        <w:t>Video: 6 cameras of 8 Mbps = 48 Mbps, which is 4.8 times higher than the site channel.</w:t>
      </w:r>
    </w:p>
    <w:p>
      <w:pPr>
        <w:pStyle w:val="ListParagraph"/>
        <w:numPr>
          <w:ilvl w:val="0"/>
          <w:numId w:val="2"/>
        </w:numPr>
        <w:spacing w:after="60" w:line="276"/>
      </w:pPr>
      <w:r>
        <w:t>Events: 100 clips of 10 s at 8 Mbps (~10 MB each) ≈ 1 GB per day.</w:t>
      </w:r>
    </w:p>
    <w:p>
      <w:pPr>
        <w:pStyle w:val="ListParagraph"/>
        <w:numPr>
          <w:ilvl w:val="0"/>
          <w:numId w:val="2"/>
        </w:numPr>
        <w:spacing w:after="60" w:line="276"/>
      </w:pPr>
      <w:r>
        <w:t>LLM context: 100 thousand tokens at ~4 bytes per token ≈ 0.4 MB.</w:t>
      </w:r>
    </w:p>
    <w:p>
      <w:pPr>
        <w:pStyle w:val="ListParagraph"/>
        <w:numPr>
          <w:ilvl w:val="0"/>
          <w:numId w:val="2"/>
        </w:numPr>
        <w:spacing w:after="60" w:line="276"/>
      </w:pPr>
      <w:r>
        <w:t>RDP: 2–5 Mbps per session; with a 10 Mbps channel, one session takes 20% to 50% of the channel.</w:t>
      </w:r>
    </w:p>
    <w:p>
      <w:pPr>
        <w:pStyle w:val="ListParagraph"/>
        <w:numPr>
          <w:ilvl w:val="0"/>
          <w:numId w:val="2"/>
        </w:numPr>
        <w:spacing w:after="60" w:line="276"/>
      </w:pPr>
      <w:r>
        <w:t>All calculations are idealized and do not take into account latency, packet loss, and encryption overhead; with real measurements, they are refined.</w:t>
      </w:r>
    </w:p>
    <w:sectPr>
      <w:headerReference w:type="default" r:id="rId9"/>
      <w:footerReference w:type="default" r:id="rId10"/>
      <w:pgSz w:w="11906" w:h="16838" w:orient="portrait"/>
      <w:pgMar w:top="1300" w:right="1134" w:bottom="1200" w:left="1134" w:header="6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8D6" w:sz="4" w:space="4"/>
      </w:pBdr>
      <w:tabs>
        <w:tab w:val="right" w:pos="9638"/>
      </w:tabs>
    </w:pPr>
    <w:r>
      <w:t>Oristella  /  Appendix 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8D6" w:sz="4" w:space="4"/>
      </w:pBdr>
      <w:tabs>
        <w:tab w:val="right" w:pos="9638"/>
      </w:tabs>
    </w:pPr>
    <w:r>
      <w:t>Oristella  /  Appendix 4.1</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4"/>
      </w:pBdr>
      <w:tabs>
        <w:tab w:val="right" w:pos="9638"/>
      </w:tabs>
    </w:pPr>
    <w:r>
      <w:t>ORISTELLA  /  APPENDIX 4.1  /  DATA CENTRE SPECIFICATION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6" w:space="4"/>
      </w:pBdr>
      <w:tabs>
        <w:tab w:val="right" w:pos="9638"/>
      </w:tabs>
    </w:pPr>
    <w:r>
      <w:t>ORISTELLA  /  APPENDIX 4.1  /  DATA CENTRE SPECIFICATION</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F3A5F"/>
      <w:sz w:val="32"/>
      <w:szCs w:val="32"/>
    </w:rPr>
  </w:style>
  <w:style w:type="paragraph" w:styleId="Heading2">
    <w:name w:val="Heading 2"/>
    <w:basedOn w:val="Normal"/>
    <w:next w:val="Normal"/>
    <w:qFormat/>
    <w:pPr>
      <w:spacing w:after="120" w:before="300"/>
      <w:outlineLvl w:val="1"/>
    </w:pPr>
    <w:rPr>
      <w:rFonts w:ascii="Arial" w:cs="Arial" w:eastAsia="Arial" w:hAnsi="Arial"/>
      <w:b/>
      <w:bCs/>
      <w:color w:val="2E75B6"/>
      <w:sz w:val="25"/>
      <w:szCs w:val="25"/>
    </w:rPr>
  </w:style>
  <w:style w:type="paragraph" w:styleId="Heading3">
    <w:name w:val="Heading 3"/>
    <w:basedOn w:val="Normal"/>
    <w:next w:val="Normal"/>
    <w:qFormat/>
    <w:pPr>
      <w:spacing w:after="80" w:before="200"/>
      <w:outlineLvl w:val="2"/>
    </w:pPr>
    <w:rPr>
      <w:rFonts w:ascii="Arial" w:cs="Arial" w:eastAsia="Arial" w:hAnsi="Arial"/>
      <w:b/>
      <w:bCs/>
      <w:color w:val="1F3A5F"/>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Структура датацентра</dc:title>
  <dc:creator>AI PROTOTYPE LAB</dc:creator>
  <cp:lastModifiedBy>Un-named</cp:lastModifiedBy>
  <cp:revision>1</cp:revision>
  <dcterms:created xsi:type="dcterms:W3CDTF">2026-10-20T23:51:02.659Z</dcterms:created>
  <dcterms:modified xsi:type="dcterms:W3CDTF">2026-10-20T23:51:02.660Z</dcterms:modified>
</cp:coreProperties>
</file>

<file path=docProps/custom.xml><?xml version="1.0" encoding="utf-8"?>
<Properties xmlns="http://schemas.openxmlformats.org/officeDocument/2006/custom-properties" xmlns:vt="http://schemas.openxmlformats.org/officeDocument/2006/docPropsVTypes"/>
</file>